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9"/>
      </w:tblGrid>
      <w:tr w:rsidR="00DA4844" w:rsidRPr="0051013A" w14:paraId="4F4BD647" w14:textId="77777777" w:rsidTr="5A82FC8D">
        <w:trPr>
          <w:trHeight w:val="828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6E019F5E" w14:textId="145EC25F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  <w:bookmarkStart w:id="0" w:name="_Hlk168564393"/>
            <w:r w:rsidRPr="0051013A">
              <w:rPr>
                <w:rFonts w:ascii="Avenir Next LT Pro" w:eastAsia="Avenir Next LT Pro" w:hAnsi="Avenir Next LT Pro" w:cs="Avenir Next LT Pro"/>
                <w:b/>
                <w:bCs/>
                <w:noProof/>
              </w:rPr>
              <w:drawing>
                <wp:inline distT="0" distB="0" distL="0" distR="0" wp14:anchorId="125361E6" wp14:editId="0ACFBB0E">
                  <wp:extent cx="5943600" cy="1732280"/>
                  <wp:effectExtent l="0" t="0" r="0" b="1270"/>
                  <wp:docPr id="2112768620" name="Picture 10" descr="Find Your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768620" name="Picture 10" descr="Find Your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4" w:rsidRPr="0051013A" w14:paraId="4AA85675" w14:textId="77777777" w:rsidTr="5A82FC8D">
        <w:trPr>
          <w:trHeight w:val="828"/>
        </w:trPr>
        <w:tc>
          <w:tcPr>
            <w:tcW w:w="9360" w:type="dxa"/>
            <w:gridSpan w:val="2"/>
            <w:shd w:val="clear" w:color="auto" w:fill="FEC923"/>
            <w:vAlign w:val="center"/>
          </w:tcPr>
          <w:p w14:paraId="1887DBD1" w14:textId="77777777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</w:p>
          <w:p w14:paraId="2B450B2B" w14:textId="28C931BF" w:rsidR="00DA4844" w:rsidRPr="00A56024" w:rsidRDefault="00DA4844" w:rsidP="0051013A">
            <w:pPr>
              <w:pStyle w:val="Title"/>
              <w:jc w:val="center"/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</w:pPr>
            <w:r w:rsidRPr="00A56024"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  <w:t>New Faculty Orientation 2025 - Newsletter #</w:t>
            </w:r>
            <w:r w:rsidR="0003348D"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  <w:t>5</w:t>
            </w:r>
          </w:p>
          <w:p w14:paraId="4391C7BC" w14:textId="30539343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</w:p>
        </w:tc>
      </w:tr>
      <w:tr w:rsidR="000E078C" w:rsidRPr="0051013A" w14:paraId="3DCA51D8" w14:textId="77777777" w:rsidTr="00D82FEC">
        <w:tc>
          <w:tcPr>
            <w:tcW w:w="4654" w:type="dxa"/>
          </w:tcPr>
          <w:p w14:paraId="1F4ABEB8" w14:textId="77777777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</w:p>
          <w:p w14:paraId="26ACAC52" w14:textId="0837902C" w:rsidR="00DA4844" w:rsidRPr="00E9060D" w:rsidRDefault="00E9060D" w:rsidP="00DA4844">
            <w:pPr>
              <w:rPr>
                <w:rFonts w:ascii="Avenir Next LT Pro" w:eastAsia="Avenir Next LT Pro" w:hAnsi="Avenir Next LT Pro" w:cs="Avenir Next LT Pro"/>
              </w:rPr>
            </w:pPr>
            <w:r w:rsidRPr="00B92437">
              <w:rPr>
                <w:rFonts w:ascii="Avenir Next LT Pro" w:eastAsia="Avenir Next LT Pro" w:hAnsi="Avenir Next LT Pro" w:cs="Avenir Next LT Pro"/>
              </w:rPr>
              <w:t>This week’s newsletter has</w:t>
            </w:r>
            <w:r w:rsidR="00B0745B" w:rsidRPr="00B92437">
              <w:rPr>
                <w:rFonts w:ascii="Avenir Next LT Pro" w:eastAsia="Avenir Next LT Pro" w:hAnsi="Avenir Next LT Pro" w:cs="Avenir Next LT Pro"/>
              </w:rPr>
              <w:t xml:space="preserve"> a sneak peek of some of our NFO sessions, as well as</w:t>
            </w:r>
            <w:r w:rsidRPr="00B92437">
              <w:rPr>
                <w:rFonts w:ascii="Avenir Next LT Pro" w:eastAsia="Avenir Next LT Pro" w:hAnsi="Avenir Next LT Pro" w:cs="Avenir Next LT Pro"/>
              </w:rPr>
              <w:t xml:space="preserve"> information </w:t>
            </w:r>
            <w:r w:rsidR="00B0745B" w:rsidRPr="00B92437">
              <w:rPr>
                <w:rFonts w:ascii="Avenir Next LT Pro" w:eastAsia="Avenir Next LT Pro" w:hAnsi="Avenir Next LT Pro" w:cs="Avenir Next LT Pro"/>
              </w:rPr>
              <w:t xml:space="preserve">on the ECU Center for </w:t>
            </w:r>
            <w:r w:rsidR="004C59F2" w:rsidRPr="00B92437">
              <w:rPr>
                <w:rFonts w:ascii="Avenir Next LT Pro" w:eastAsia="Avenir Next LT Pro" w:hAnsi="Avenir Next LT Pro" w:cs="Avenir Next LT Pro"/>
              </w:rPr>
              <w:t>Communication</w:t>
            </w:r>
            <w:r w:rsidR="00B0745B" w:rsidRPr="00B92437">
              <w:rPr>
                <w:rFonts w:ascii="Avenir Next LT Pro" w:eastAsia="Avenir Next LT Pro" w:hAnsi="Avenir Next LT Pro" w:cs="Avenir Next LT Pro"/>
              </w:rPr>
              <w:t xml:space="preserve"> Excellence</w:t>
            </w:r>
            <w:r w:rsidRPr="00B92437">
              <w:rPr>
                <w:rFonts w:ascii="Avenir Next LT Pro" w:eastAsia="Avenir Next LT Pro" w:hAnsi="Avenir Next LT Pro" w:cs="Avenir Next LT Pro"/>
              </w:rPr>
              <w:t xml:space="preserve">. </w:t>
            </w:r>
            <w:r w:rsidR="000B5BE6" w:rsidRPr="00B92437">
              <w:rPr>
                <w:rFonts w:ascii="Avenir Next LT Pro" w:eastAsia="Avenir Next LT Pro" w:hAnsi="Avenir Next LT Pro" w:cs="Avenir Next LT Pro"/>
              </w:rPr>
              <w:t xml:space="preserve">You’ll </w:t>
            </w:r>
            <w:r w:rsidR="00B92437" w:rsidRPr="00B92437">
              <w:rPr>
                <w:rFonts w:ascii="Avenir Next LT Pro" w:eastAsia="Avenir Next LT Pro" w:hAnsi="Avenir Next LT Pro" w:cs="Avenir Next LT Pro"/>
              </w:rPr>
              <w:t>learn how to get started in</w:t>
            </w:r>
            <w:r w:rsidR="006B2FC3" w:rsidRPr="00B92437">
              <w:rPr>
                <w:rFonts w:ascii="Avenir Next LT Pro" w:eastAsia="Avenir Next LT Pro" w:hAnsi="Avenir Next LT Pro" w:cs="Avenir Next LT Pro"/>
              </w:rPr>
              <w:t xml:space="preserve"> </w:t>
            </w:r>
            <w:r w:rsidRPr="00B92437">
              <w:rPr>
                <w:rFonts w:ascii="Avenir Next LT Pro" w:eastAsia="Avenir Next LT Pro" w:hAnsi="Avenir Next LT Pro" w:cs="Avenir Next LT Pro"/>
              </w:rPr>
              <w:t xml:space="preserve">Canvas </w:t>
            </w:r>
            <w:r w:rsidR="00B92437" w:rsidRPr="00B92437">
              <w:rPr>
                <w:rFonts w:ascii="Avenir Next LT Pro" w:eastAsia="Avenir Next LT Pro" w:hAnsi="Avenir Next LT Pro" w:cs="Avenir Next LT Pro"/>
              </w:rPr>
              <w:t>and how to incorporate</w:t>
            </w:r>
            <w:r w:rsidR="003E11CE">
              <w:rPr>
                <w:rFonts w:ascii="Avenir Next LT Pro" w:eastAsia="Avenir Next LT Pro" w:hAnsi="Avenir Next LT Pro" w:cs="Avenir Next LT Pro"/>
              </w:rPr>
              <w:t xml:space="preserve"> the UDL principle of</w:t>
            </w:r>
            <w:r w:rsidR="00B92437" w:rsidRPr="00B92437">
              <w:rPr>
                <w:rFonts w:ascii="Avenir Next LT Pro" w:eastAsia="Avenir Next LT Pro" w:hAnsi="Avenir Next LT Pro" w:cs="Avenir Next LT Pro"/>
              </w:rPr>
              <w:t xml:space="preserve"> multiple means of engagement into your courses. </w:t>
            </w:r>
            <w:r w:rsidR="00140B51">
              <w:rPr>
                <w:rFonts w:ascii="Avenir Next LT Pro" w:eastAsia="Avenir Next LT Pro" w:hAnsi="Avenir Next LT Pro" w:cs="Avenir Next LT Pro"/>
              </w:rPr>
              <w:t>If</w:t>
            </w:r>
            <w:r w:rsidR="00B92437">
              <w:rPr>
                <w:rFonts w:ascii="Avenir Next LT Pro" w:eastAsia="Avenir Next LT Pro" w:hAnsi="Avenir Next LT Pro" w:cs="Avenir Next LT Pro"/>
              </w:rPr>
              <w:t xml:space="preserve"> you’re a sports fan, check out the information about all </w:t>
            </w:r>
            <w:r w:rsidR="00140B51">
              <w:rPr>
                <w:rFonts w:ascii="Avenir Next LT Pro" w:eastAsia="Avenir Next LT Pro" w:hAnsi="Avenir Next LT Pro" w:cs="Avenir Next LT Pro"/>
              </w:rPr>
              <w:t xml:space="preserve">of </w:t>
            </w:r>
            <w:r w:rsidR="00B92437">
              <w:rPr>
                <w:rFonts w:ascii="Avenir Next LT Pro" w:eastAsia="Avenir Next LT Pro" w:hAnsi="Avenir Next LT Pro" w:cs="Avenir Next LT Pro"/>
              </w:rPr>
              <w:t xml:space="preserve">the athletic teams at ECU! </w:t>
            </w:r>
          </w:p>
          <w:p w14:paraId="3B5C0978" w14:textId="4DD2AFBC" w:rsidR="00DA4844" w:rsidRPr="00E9060D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  <w:r w:rsidRPr="00E9060D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538B1062" w14:textId="3F512403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  <w:r w:rsidRPr="00E9060D">
              <w:rPr>
                <w:rFonts w:ascii="Avenir Next LT Pro" w:eastAsia="Avenir Next LT Pro" w:hAnsi="Avenir Next LT Pro" w:cs="Avenir Next LT Pro"/>
              </w:rPr>
              <w:t>- NFO 2025 Team</w:t>
            </w:r>
          </w:p>
        </w:tc>
        <w:tc>
          <w:tcPr>
            <w:tcW w:w="4706" w:type="dxa"/>
          </w:tcPr>
          <w:p w14:paraId="79552671" w14:textId="77777777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</w:p>
          <w:p w14:paraId="2E27B14A" w14:textId="6B3CBD91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184E63"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Support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6F74633E" w14:textId="77777777" w:rsidR="00860428" w:rsidRDefault="00860428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 xml:space="preserve">Center for Communication </w:t>
            </w:r>
          </w:p>
          <w:p w14:paraId="19EE3FAB" w14:textId="224FEE44" w:rsidR="00A61930" w:rsidRDefault="00860428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Excellence</w:t>
            </w:r>
          </w:p>
          <w:p w14:paraId="0383CF89" w14:textId="77777777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</w:p>
          <w:p w14:paraId="72BD7848" w14:textId="62A49F12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184E63"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Way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053CE92B" w14:textId="4C1BB542" w:rsidR="00F04F56" w:rsidRDefault="00860428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Overview of NFO Sessions</w:t>
            </w:r>
          </w:p>
          <w:p w14:paraId="13BC6B27" w14:textId="2723D0E0" w:rsidR="00860428" w:rsidRDefault="00860428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Introduction to Canvas</w:t>
            </w:r>
          </w:p>
          <w:p w14:paraId="36213117" w14:textId="35893C71" w:rsidR="00860428" w:rsidRPr="0051013A" w:rsidRDefault="00860428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 xml:space="preserve">Prepare </w:t>
            </w:r>
            <w:r w:rsidR="003E11CE">
              <w:rPr>
                <w:rFonts w:ascii="Avenir Next LT Pro" w:eastAsia="Avenir Next LT Pro" w:hAnsi="Avenir Next LT Pro" w:cs="Avenir Next LT Pro"/>
              </w:rPr>
              <w:t>C</w:t>
            </w:r>
            <w:r>
              <w:rPr>
                <w:rFonts w:ascii="Avenir Next LT Pro" w:eastAsia="Avenir Next LT Pro" w:hAnsi="Avenir Next LT Pro" w:cs="Avenir Next LT Pro"/>
              </w:rPr>
              <w:t>ourses in Canvas</w:t>
            </w:r>
          </w:p>
          <w:p w14:paraId="2EFB39B2" w14:textId="77777777" w:rsidR="00DA4844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</w:p>
          <w:p w14:paraId="388D41F7" w14:textId="37054AA0" w:rsidR="00D82FEC" w:rsidRPr="0051013A" w:rsidRDefault="00D82FEC" w:rsidP="00D82FEC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Spot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25BF5785" w14:textId="59E9B43E" w:rsidR="00D82FEC" w:rsidRDefault="00860428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ECU Athletics</w:t>
            </w:r>
          </w:p>
          <w:p w14:paraId="744B0745" w14:textId="77777777" w:rsidR="00D82FEC" w:rsidRPr="0051013A" w:rsidRDefault="00D82FEC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</w:p>
          <w:p w14:paraId="76E11EF4" w14:textId="18683E0B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2C0A76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Purpose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515C2049" w14:textId="57399E83" w:rsidR="00A61930" w:rsidRPr="0051013A" w:rsidRDefault="00860428" w:rsidP="00A61930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Multiple Means of Engagement (UDL)</w:t>
            </w:r>
          </w:p>
        </w:tc>
      </w:tr>
    </w:tbl>
    <w:p w14:paraId="42E49559" w14:textId="45695930" w:rsidR="00154A63" w:rsidRPr="0051013A" w:rsidRDefault="00154A63" w:rsidP="00CA7555">
      <w:pPr>
        <w:rPr>
          <w:rFonts w:ascii="Avenir Next LT Pro" w:eastAsia="Avenir Next LT Pro" w:hAnsi="Avenir Next LT Pro" w:cs="Avenir Next LT Pro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16"/>
        <w:gridCol w:w="1869"/>
        <w:gridCol w:w="2033"/>
        <w:gridCol w:w="1752"/>
        <w:gridCol w:w="1446"/>
        <w:gridCol w:w="34"/>
      </w:tblGrid>
      <w:tr w:rsidR="00E0013D" w:rsidRPr="0051013A" w14:paraId="50E7AB85" w14:textId="77777777" w:rsidTr="7D7EC534">
        <w:trPr>
          <w:trHeight w:val="300"/>
        </w:trPr>
        <w:tc>
          <w:tcPr>
            <w:tcW w:w="9360" w:type="dxa"/>
            <w:gridSpan w:val="7"/>
            <w:shd w:val="clear" w:color="auto" w:fill="582C83"/>
          </w:tcPr>
          <w:p w14:paraId="2544867A" w14:textId="3BF31D7C" w:rsidR="00E0013D" w:rsidRPr="0051013A" w:rsidRDefault="00E0013D" w:rsidP="0051013A">
            <w:pPr>
              <w:pStyle w:val="Heading1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bookmarkStart w:id="1" w:name="_Hlk167113026"/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 xml:space="preserve">New </w:t>
            </w:r>
            <w:r w:rsidR="00C155AA"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Information</w:t>
            </w:r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 xml:space="preserve"> for </w:t>
            </w:r>
            <w:r w:rsidR="00860428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July 3</w:t>
            </w:r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12069B" w:rsidRPr="0051013A" w14:paraId="1A60D996" w14:textId="77777777" w:rsidTr="7D7EC534">
        <w:trPr>
          <w:trHeight w:val="300"/>
        </w:trPr>
        <w:tc>
          <w:tcPr>
            <w:tcW w:w="2233" w:type="dxa"/>
            <w:gridSpan w:val="2"/>
          </w:tcPr>
          <w:p w14:paraId="365A2140" w14:textId="7527ED69" w:rsidR="00B91758" w:rsidRPr="0051013A" w:rsidRDefault="00B91758" w:rsidP="000648DA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</w:p>
        </w:tc>
        <w:tc>
          <w:tcPr>
            <w:tcW w:w="7127" w:type="dxa"/>
            <w:gridSpan w:val="5"/>
          </w:tcPr>
          <w:p w14:paraId="3ABA5BCF" w14:textId="5D964C2D" w:rsidR="003C67BA" w:rsidRPr="0051013A" w:rsidRDefault="003C67BA" w:rsidP="008B6749">
            <w:pPr>
              <w:rPr>
                <w:rFonts w:ascii="Avenir Next LT Pro" w:hAnsi="Avenir Next LT Pro"/>
                <w:szCs w:val="22"/>
              </w:rPr>
            </w:pPr>
          </w:p>
        </w:tc>
      </w:tr>
      <w:tr w:rsidR="0012069B" w:rsidRPr="0051013A" w14:paraId="7794F0CC" w14:textId="77777777" w:rsidTr="7D7EC534">
        <w:trPr>
          <w:trHeight w:val="300"/>
        </w:trPr>
        <w:tc>
          <w:tcPr>
            <w:tcW w:w="2233" w:type="dxa"/>
            <w:gridSpan w:val="2"/>
          </w:tcPr>
          <w:p w14:paraId="50E656C3" w14:textId="77777777" w:rsidR="00E0013D" w:rsidRPr="0051013A" w:rsidRDefault="00E0013D">
            <w:pPr>
              <w:rPr>
                <w:rFonts w:ascii="Avenir Next LT Pro" w:hAnsi="Avenir Next LT Pro"/>
                <w:noProof/>
              </w:rPr>
            </w:pPr>
          </w:p>
        </w:tc>
        <w:tc>
          <w:tcPr>
            <w:tcW w:w="7127" w:type="dxa"/>
            <w:gridSpan w:val="5"/>
          </w:tcPr>
          <w:p w14:paraId="2F9B6596" w14:textId="77777777" w:rsidR="00E0013D" w:rsidRPr="0051013A" w:rsidRDefault="00E0013D" w:rsidP="00E0013D">
            <w:pPr>
              <w:rPr>
                <w:rFonts w:ascii="Avenir Next LT Pro" w:hAnsi="Avenir Next LT Pro"/>
                <w:i/>
                <w:iCs/>
                <w:sz w:val="28"/>
                <w:szCs w:val="28"/>
              </w:rPr>
            </w:pPr>
          </w:p>
        </w:tc>
      </w:tr>
      <w:tr w:rsidR="0012069B" w:rsidRPr="0051013A" w14:paraId="65DCB5F7" w14:textId="77777777" w:rsidTr="7D7EC534">
        <w:trPr>
          <w:trHeight w:val="300"/>
        </w:trPr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14:paraId="4731E9E5" w14:textId="085D5418" w:rsidR="00AC63CD" w:rsidRPr="0051013A" w:rsidRDefault="00AC63CD" w:rsidP="00AC63CD">
            <w:pPr>
              <w:ind w:right="105"/>
              <w:rPr>
                <w:rFonts w:ascii="Avenir Next LT Pro" w:hAnsi="Avenir Next LT Pro"/>
                <w:b/>
                <w:bCs/>
                <w:i/>
                <w:iCs/>
                <w:noProof/>
              </w:rPr>
            </w:pPr>
            <w:r w:rsidRPr="0051013A">
              <w:rPr>
                <w:rFonts w:ascii="Avenir Next LT Pro" w:hAnsi="Avenir Next LT Pro"/>
                <w:b/>
                <w:bCs/>
                <w:i/>
                <w:iCs/>
                <w:noProof/>
              </w:rPr>
              <w:drawing>
                <wp:inline distT="0" distB="0" distL="0" distR="0" wp14:anchorId="296C9F8F" wp14:editId="226755BD">
                  <wp:extent cx="944088" cy="944088"/>
                  <wp:effectExtent l="0" t="0" r="8890" b="8890"/>
                  <wp:docPr id="105965949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5949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76" cy="96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FED0C" w14:textId="449C7F00" w:rsidR="00E0013D" w:rsidRPr="0051013A" w:rsidRDefault="00EB4AA4" w:rsidP="00991A4D">
            <w:pPr>
              <w:ind w:right="105"/>
              <w:rPr>
                <w:rFonts w:ascii="Avenir Next LT Pro" w:hAnsi="Avenir Next LT Pro"/>
                <w:i/>
                <w:iCs/>
                <w:noProof/>
              </w:rPr>
            </w:pPr>
            <w:r w:rsidRPr="0051013A">
              <w:rPr>
                <w:rFonts w:ascii="Avenir Next LT Pro" w:hAnsi="Avenir Next LT Pro"/>
                <w:b/>
                <w:bCs/>
                <w:i/>
                <w:iCs/>
                <w:noProof/>
              </w:rPr>
              <w:br/>
            </w:r>
          </w:p>
        </w:tc>
        <w:tc>
          <w:tcPr>
            <w:tcW w:w="7127" w:type="dxa"/>
            <w:gridSpan w:val="5"/>
            <w:tcBorders>
              <w:bottom w:val="single" w:sz="4" w:space="0" w:color="auto"/>
            </w:tcBorders>
          </w:tcPr>
          <w:p w14:paraId="37B2032A" w14:textId="2700C703" w:rsidR="00E0013D" w:rsidRPr="00860428" w:rsidRDefault="008B6749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Support</w:t>
            </w:r>
            <w:r w:rsidR="00031EFF" w:rsidRP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:</w:t>
            </w:r>
            <w:r w:rsidR="00E0013D" w:rsidRP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860428" w:rsidRP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Center for Communication Excellence</w:t>
            </w:r>
          </w:p>
          <w:p w14:paraId="4EBE66FF" w14:textId="77777777" w:rsidR="00E9060D" w:rsidRPr="00860428" w:rsidRDefault="00E9060D" w:rsidP="00E9060D">
            <w:pPr>
              <w:rPr>
                <w:highlight w:val="yellow"/>
              </w:rPr>
            </w:pPr>
          </w:p>
          <w:p w14:paraId="13776EC2" w14:textId="6E20D19C" w:rsidR="00B0745B" w:rsidRDefault="00C76307" w:rsidP="00B0745B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Looking to strengthen your communication skills</w:t>
            </w:r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? 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ECU’s </w:t>
            </w:r>
            <w:hyperlink r:id="rId13" w:history="1">
              <w:r w:rsidR="00B0745B" w:rsidRPr="007D1492"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Center for Communication Excellence</w:t>
              </w:r>
            </w:hyperlink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(CCE) 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is here to help you become a more confident and effective communicator. Located in 205 Joyner East on the Main Campus, the Center 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lastRenderedPageBreak/>
              <w:t xml:space="preserve">offers support 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with everything from c</w:t>
            </w:r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lass presentations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and interview preparation to </w:t>
            </w:r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presenting research concisely, PowerPoint 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design</w:t>
            </w:r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,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leadership development, and</w:t>
            </w:r>
            <w:r w:rsidR="00B0745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navigating difficult conversations</w:t>
            </w:r>
            <w:r w:rsid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.</w:t>
            </w:r>
          </w:p>
          <w:p w14:paraId="67E0C218" w14:textId="77777777" w:rsidR="00B0745B" w:rsidRDefault="00B0745B" w:rsidP="00B0745B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62B726E4" w14:textId="77777777" w:rsidR="00EB402B" w:rsidRDefault="00EB402B" w:rsidP="00EB402B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 w:rsidRP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Whether you prefer one-on-one help or group sessions, the Center provides both in-person and virtual consultations to fit your schedule.</w:t>
            </w:r>
          </w:p>
          <w:p w14:paraId="7F03818D" w14:textId="77777777" w:rsidR="00EB402B" w:rsidRPr="00EB402B" w:rsidRDefault="00EB402B" w:rsidP="00EB402B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275BDFC8" w14:textId="234BB5AA" w:rsidR="00EB402B" w:rsidRPr="00EB402B" w:rsidRDefault="00EB402B" w:rsidP="00EB402B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 w:rsidRP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Want to see what </w:t>
            </w:r>
            <w:r w:rsidR="0077383C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the Center for Communication Excellence is </w:t>
            </w:r>
            <w:r w:rsidRPr="00EB402B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all about? Watch the video below</w:t>
            </w:r>
            <w:r w:rsidR="0077383C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!</w:t>
            </w:r>
          </w:p>
          <w:p w14:paraId="675939EE" w14:textId="77777777" w:rsidR="0012069B" w:rsidRDefault="0012069B" w:rsidP="00E9060D">
            <w:pPr>
              <w:rPr>
                <w:rFonts w:ascii="Avenir Next LT Pro" w:eastAsia="Aptos" w:hAnsi="Avenir Next LT Pro" w:cs="Aptos"/>
                <w:bCs/>
                <w:iCs/>
                <w:highlight w:val="yellow"/>
              </w:rPr>
            </w:pPr>
          </w:p>
          <w:p w14:paraId="4D5C0DAB" w14:textId="5F85325C" w:rsidR="00B0745B" w:rsidRPr="00B0745B" w:rsidRDefault="00B0745B" w:rsidP="00E9060D">
            <w:pPr>
              <w:rPr>
                <w:highlight w:val="yellow"/>
              </w:rPr>
            </w:pPr>
            <w:r>
              <w:rPr>
                <w:rFonts w:ascii="Avenir Next LT Pro" w:eastAsia="Aptos" w:hAnsi="Avenir Next LT Pro" w:cs="Aptos"/>
                <w:b/>
                <w:bCs/>
                <w:i/>
                <w:iCs/>
                <w:noProof/>
                <w:color w:val="000000" w:themeColor="text1"/>
              </w:rPr>
              <w:drawing>
                <wp:inline distT="0" distB="0" distL="0" distR="0" wp14:anchorId="13E9DA14" wp14:editId="0D5FDEE6">
                  <wp:extent cx="4124325" cy="3093244"/>
                  <wp:effectExtent l="0" t="0" r="0" b="0"/>
                  <wp:docPr id="10" name="Video 10" descr="ECU's Center for Communication Excellenc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deo 10" descr="ECU's Center for Communication Excellence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cKO5vSNSxto?feature=oembed&quot; frameborder=&quot;0&quot; allow=&quot;accelerometer; autoplay; clipboard-write; encrypted-media; gyroscope; picture-in-picture; web-share&quot; referrerpolicy=&quot;strict-origin-when-cross-origin&quot; allowfullscreen=&quot;&quot; title=&quot;ECU&amp;#39;s Center for Communication Excellence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684" cy="309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5C113" w14:textId="4D753805" w:rsidR="00E9060D" w:rsidRPr="00860428" w:rsidRDefault="00E9060D" w:rsidP="00E9060D">
            <w:pPr>
              <w:rPr>
                <w:rFonts w:ascii="Avenir Next LT Pro" w:hAnsi="Avenir Next LT Pro"/>
                <w:sz w:val="28"/>
                <w:szCs w:val="28"/>
                <w:highlight w:val="yellow"/>
              </w:rPr>
            </w:pPr>
          </w:p>
        </w:tc>
      </w:tr>
      <w:tr w:rsidR="000648DA" w:rsidRPr="0051013A" w14:paraId="626E6796" w14:textId="77777777" w:rsidTr="7D7EC534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4316F2D3" w14:textId="3E12C2BF" w:rsidR="000648DA" w:rsidRPr="0051013A" w:rsidRDefault="000648DA" w:rsidP="000648DA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12069B" w:rsidRPr="0051013A" w14:paraId="11307626" w14:textId="77777777" w:rsidTr="7D7EC534">
        <w:trPr>
          <w:trHeight w:val="300"/>
        </w:trPr>
        <w:tc>
          <w:tcPr>
            <w:tcW w:w="2233" w:type="dxa"/>
            <w:gridSpan w:val="2"/>
          </w:tcPr>
          <w:p w14:paraId="2437851A" w14:textId="3B2E44D2" w:rsidR="000648DA" w:rsidRPr="0051013A" w:rsidRDefault="00AC63CD" w:rsidP="000648DA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79130560" wp14:editId="4B4972A6">
                  <wp:extent cx="878774" cy="878774"/>
                  <wp:effectExtent l="0" t="0" r="0" b="0"/>
                  <wp:docPr id="682460332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60332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gridSpan w:val="5"/>
          </w:tcPr>
          <w:p w14:paraId="2764EF6D" w14:textId="2EBB3AA8" w:rsidR="000648DA" w:rsidRPr="0051013A" w:rsidRDefault="000648DA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 w:rsidR="00A61930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1</w:t>
            </w:r>
            <w:r w:rsidR="00031EFF"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: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Overview of NFO Sessions</w:t>
            </w:r>
          </w:p>
          <w:p w14:paraId="64A9CB35" w14:textId="77777777" w:rsidR="00EB402B" w:rsidRDefault="00EB402B" w:rsidP="00D438A1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6885DB69" w14:textId="23604D36" w:rsidR="00D438A1" w:rsidRDefault="00EB402B" w:rsidP="00D438A1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Getting excited </w:t>
            </w:r>
            <w:r w:rsidR="00140B51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for New Faculty Orientation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? 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Here’s a sneak peek at some featured sessions during New Faculty Orientation (NFO):</w:t>
            </w:r>
          </w:p>
          <w:p w14:paraId="313A0992" w14:textId="77777777" w:rsidR="008F112D" w:rsidRDefault="008F112D" w:rsidP="000648DA">
            <w:pPr>
              <w:rPr>
                <w:rFonts w:ascii="Avenir Next LT Pro" w:hAnsi="Avenir Next LT Pro"/>
              </w:rPr>
            </w:pPr>
          </w:p>
          <w:p w14:paraId="2BD3F34B" w14:textId="2F44AA12" w:rsidR="00EB402B" w:rsidRDefault="00171CFD" w:rsidP="00EB402B">
            <w:pPr>
              <w:rPr>
                <w:rFonts w:ascii="Avenir Next LT Pro" w:eastAsia="Aptos" w:hAnsi="Avenir Next LT Pro" w:cs="Aptos"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i/>
                <w:iCs/>
                <w:color w:val="000000" w:themeColor="text1"/>
              </w:rPr>
              <w:t>Welcome from</w:t>
            </w:r>
            <w:r w:rsidR="00EB402B" w:rsidRPr="0C346D00">
              <w:rPr>
                <w:rFonts w:ascii="Avenir Next LT Pro" w:eastAsia="Aptos" w:hAnsi="Avenir Next LT Pro" w:cs="Aptos"/>
                <w:i/>
                <w:iCs/>
                <w:color w:val="000000" w:themeColor="text1"/>
              </w:rPr>
              <w:t xml:space="preserve"> Senior Administrators: 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t xml:space="preserve">Kick off your first day by hearing directly from ECU’s senior leadership. You’ll start the morning with brief remarks and have a chance to connect more 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lastRenderedPageBreak/>
              <w:t xml:space="preserve">personally </w:t>
            </w:r>
            <w:r w:rsidR="0077383C">
              <w:rPr>
                <w:rFonts w:ascii="Avenir Next LT Pro" w:eastAsia="Aptos" w:hAnsi="Avenir Next LT Pro" w:cs="Aptos"/>
                <w:color w:val="000000" w:themeColor="text1"/>
              </w:rPr>
              <w:t>during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t xml:space="preserve"> the Chancellor’s Welcome Reception </w:t>
            </w:r>
            <w:r w:rsidR="00931514">
              <w:rPr>
                <w:rFonts w:ascii="Avenir Next LT Pro" w:eastAsia="Aptos" w:hAnsi="Avenir Next LT Pro" w:cs="Aptos"/>
                <w:color w:val="000000" w:themeColor="text1"/>
              </w:rPr>
              <w:t>that evening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t>.</w:t>
            </w:r>
          </w:p>
          <w:p w14:paraId="394BCBBD" w14:textId="77777777" w:rsidR="00EB402B" w:rsidRDefault="00EB402B" w:rsidP="000648DA">
            <w:pPr>
              <w:rPr>
                <w:rFonts w:ascii="Avenir Next LT Pro" w:hAnsi="Avenir Next LT Pro"/>
              </w:rPr>
            </w:pPr>
          </w:p>
          <w:p w14:paraId="6C54CDE0" w14:textId="1C6C0D31" w:rsidR="00D438A1" w:rsidRDefault="00D438A1" w:rsidP="000648DA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 w:rsidRPr="005D4495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 xml:space="preserve">From </w:t>
            </w:r>
            <w:r w:rsidR="00BE257C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>O</w:t>
            </w:r>
            <w:r w:rsidRPr="005D4495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>ur Students</w:t>
            </w:r>
            <w:r w:rsidRPr="00BB3BE9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>: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</w:t>
            </w:r>
            <w:r w:rsidR="0077383C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This is o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ne of our most popular sessions! Hear directly from current undergraduate and graduate students as they share classroom insights, tips, and takeaways based on their most memorable learning experiences.</w:t>
            </w:r>
          </w:p>
          <w:p w14:paraId="6010C77A" w14:textId="77777777" w:rsidR="00D438A1" w:rsidRDefault="00D438A1" w:rsidP="000648DA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604B8F9F" w14:textId="613BFBF3" w:rsidR="00D438A1" w:rsidRDefault="00BE257C" w:rsidP="000648DA">
            <w:pPr>
              <w:rPr>
                <w:rFonts w:ascii="Avenir Next LT Pro" w:hAnsi="Avenir Next LT Pro"/>
              </w:rPr>
            </w:pPr>
            <w:r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>Information Fair</w:t>
            </w:r>
            <w:r w:rsidR="00D438A1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 xml:space="preserve">: </w:t>
            </w:r>
            <w:r w:rsidR="00931514" w:rsidRPr="00931514">
              <w:rPr>
                <w:rFonts w:ascii="Avenir Next LT Pro" w:hAnsi="Avenir Next LT Pro"/>
              </w:rPr>
              <w:t>Meet representatives from more than 30 ECU offices and community organizations that collaborate with faculty on teaching, research, service, and regional engagement. It’s a great way to explore campus and community resources. Look for more details</w:t>
            </w:r>
            <w:r w:rsidR="0077383C">
              <w:rPr>
                <w:rFonts w:ascii="Avenir Next LT Pro" w:hAnsi="Avenir Next LT Pro"/>
              </w:rPr>
              <w:t xml:space="preserve"> about some of these </w:t>
            </w:r>
            <w:r w:rsidR="00885072">
              <w:rPr>
                <w:rFonts w:ascii="Avenir Next LT Pro" w:hAnsi="Avenir Next LT Pro"/>
              </w:rPr>
              <w:t xml:space="preserve">resources </w:t>
            </w:r>
            <w:r w:rsidR="0077383C">
              <w:rPr>
                <w:rFonts w:ascii="Avenir Next LT Pro" w:hAnsi="Avenir Next LT Pro"/>
              </w:rPr>
              <w:t xml:space="preserve">in upcoming </w:t>
            </w:r>
            <w:r w:rsidR="00931514" w:rsidRPr="00931514">
              <w:rPr>
                <w:rFonts w:ascii="Avenir Next LT Pro" w:hAnsi="Avenir Next LT Pro"/>
              </w:rPr>
              <w:t>newsletter</w:t>
            </w:r>
            <w:r w:rsidR="0077383C">
              <w:rPr>
                <w:rFonts w:ascii="Avenir Next LT Pro" w:hAnsi="Avenir Next LT Pro"/>
              </w:rPr>
              <w:t>s</w:t>
            </w:r>
            <w:r w:rsidR="00931514" w:rsidRPr="00931514">
              <w:rPr>
                <w:rFonts w:ascii="Avenir Next LT Pro" w:hAnsi="Avenir Next LT Pro"/>
              </w:rPr>
              <w:t>!</w:t>
            </w:r>
          </w:p>
          <w:p w14:paraId="225A35D2" w14:textId="77777777" w:rsidR="00D438A1" w:rsidRDefault="00D438A1" w:rsidP="000648DA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0D75324D" w14:textId="569C41B7" w:rsidR="00D438A1" w:rsidRDefault="00BE257C" w:rsidP="000648DA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>Breakout Sessions</w:t>
            </w:r>
            <w:r w:rsidR="00D438A1">
              <w:rPr>
                <w:rFonts w:ascii="Avenir Next LT Pro" w:eastAsia="Aptos" w:hAnsi="Avenir Next LT Pro" w:cs="Aptos"/>
                <w:bCs/>
                <w:i/>
                <w:color w:val="000000" w:themeColor="text1"/>
              </w:rPr>
              <w:t xml:space="preserve">: 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Customize your experience by choosing from a variety of topics, including faculty well-being</w:t>
            </w:r>
            <w:r w:rsidR="00885072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resources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, the University Writing Program, </w:t>
            </w:r>
            <w:r w:rsid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G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lobal </w:t>
            </w:r>
            <w:r w:rsid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A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ffairs, </w:t>
            </w:r>
            <w:r w:rsidR="00885072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and </w:t>
            </w:r>
            <w:r w:rsidR="00931514" w:rsidRPr="0093151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community engagement</w:t>
            </w:r>
            <w:r w:rsidR="00885072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.</w:t>
            </w:r>
          </w:p>
          <w:p w14:paraId="3F29C351" w14:textId="77777777" w:rsidR="00D438A1" w:rsidRDefault="00D438A1" w:rsidP="000648DA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4D2D0FA6" w14:textId="7D7A4217" w:rsidR="00BE257C" w:rsidRDefault="00BE257C" w:rsidP="000648DA">
            <w:pPr>
              <w:rPr>
                <w:rFonts w:ascii="Avenir Next LT Pro" w:eastAsia="Aptos" w:hAnsi="Avenir Next LT Pro" w:cs="Aptos"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i/>
                <w:iCs/>
                <w:color w:val="000000" w:themeColor="text1"/>
              </w:rPr>
              <w:t>Faculty Panels</w:t>
            </w:r>
            <w:r w:rsidR="00D438A1" w:rsidRPr="0C346D00">
              <w:rPr>
                <w:rFonts w:ascii="Avenir Next LT Pro" w:eastAsia="Aptos" w:hAnsi="Avenir Next LT Pro" w:cs="Aptos"/>
                <w:i/>
                <w:iCs/>
                <w:color w:val="000000" w:themeColor="text1"/>
              </w:rPr>
              <w:t>:</w:t>
            </w:r>
            <w:r w:rsidR="00D438A1" w:rsidRPr="0C346D00">
              <w:rPr>
                <w:rFonts w:ascii="Avenir Next LT Pro" w:eastAsia="Aptos" w:hAnsi="Avenir Next LT Pro" w:cs="Aptos"/>
                <w:color w:val="000000" w:themeColor="text1"/>
              </w:rPr>
              <w:t xml:space="preserve"> 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t xml:space="preserve">Learn from experienced tenure-line and fixed-term faculty as they share advice on navigating evaluation, reappointment, </w:t>
            </w:r>
            <w:r w:rsidR="00931514">
              <w:rPr>
                <w:rFonts w:ascii="Avenir Next LT Pro" w:eastAsia="Aptos" w:hAnsi="Avenir Next LT Pro" w:cs="Aptos"/>
                <w:color w:val="000000" w:themeColor="text1"/>
              </w:rPr>
              <w:t xml:space="preserve">advancement, </w:t>
            </w:r>
            <w:r w:rsidR="00931514" w:rsidRPr="00931514">
              <w:rPr>
                <w:rFonts w:ascii="Avenir Next LT Pro" w:eastAsia="Aptos" w:hAnsi="Avenir Next LT Pro" w:cs="Aptos"/>
                <w:color w:val="000000" w:themeColor="text1"/>
              </w:rPr>
              <w:t>promotion, and everything in between. This is a great opportunity to hear what starting at ECU is really like</w:t>
            </w:r>
            <w:r w:rsidR="00931514">
              <w:rPr>
                <w:rFonts w:ascii="Avenir Next LT Pro" w:eastAsia="Aptos" w:hAnsi="Avenir Next LT Pro" w:cs="Aptos"/>
                <w:color w:val="000000" w:themeColor="text1"/>
              </w:rPr>
              <w:t xml:space="preserve">, from those who’ve been there. </w:t>
            </w:r>
          </w:p>
          <w:p w14:paraId="00F9FB75" w14:textId="4B5BFFC2" w:rsidR="008F112D" w:rsidRPr="00D438A1" w:rsidRDefault="00931514" w:rsidP="00D438A1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771295F7" wp14:editId="7F3F006A">
                  <wp:simplePos x="0" y="0"/>
                  <wp:positionH relativeFrom="column">
                    <wp:posOffset>1454581</wp:posOffset>
                  </wp:positionH>
                  <wp:positionV relativeFrom="paragraph">
                    <wp:posOffset>133266</wp:posOffset>
                  </wp:positionV>
                  <wp:extent cx="577969" cy="577969"/>
                  <wp:effectExtent l="0" t="0" r="0" b="0"/>
                  <wp:wrapTight wrapText="bothSides">
                    <wp:wrapPolygon edited="0">
                      <wp:start x="11393" y="712"/>
                      <wp:lineTo x="2136" y="4985"/>
                      <wp:lineTo x="712" y="6409"/>
                      <wp:lineTo x="712" y="19938"/>
                      <wp:lineTo x="17090" y="19938"/>
                      <wp:lineTo x="17090" y="13530"/>
                      <wp:lineTo x="19938" y="7121"/>
                      <wp:lineTo x="19226" y="4273"/>
                      <wp:lineTo x="14954" y="712"/>
                      <wp:lineTo x="11393" y="712"/>
                    </wp:wrapPolygon>
                  </wp:wrapTight>
                  <wp:docPr id="816741645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41645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69" cy="57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48DA" w:rsidRPr="0051013A" w14:paraId="3EEC71F7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503FE978" w14:textId="0F3B7E58" w:rsidR="000648DA" w:rsidRPr="0051013A" w:rsidRDefault="000648DA" w:rsidP="00193634">
            <w:pPr>
              <w:rPr>
                <w:rFonts w:ascii="Avenir Next LT Pro" w:hAnsi="Avenir Next LT Pro"/>
                <w:i/>
                <w:iCs/>
                <w:sz w:val="28"/>
                <w:szCs w:val="28"/>
              </w:rPr>
            </w:pPr>
          </w:p>
        </w:tc>
      </w:tr>
      <w:tr w:rsidR="000648DA" w:rsidRPr="0051013A" w14:paraId="3AC4103D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32F8E623" w14:textId="20D29C17" w:rsidR="000648DA" w:rsidRDefault="00931514" w:rsidP="000648DA">
            <w:pPr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Help us put all the pieces in place! </w:t>
            </w:r>
            <w:r w:rsidRPr="00D438A1">
              <w:rPr>
                <w:rFonts w:ascii="Avenir Next LT Pro" w:hAnsi="Avenir Next LT Pro"/>
                <w:b/>
                <w:bCs/>
              </w:rPr>
              <w:t xml:space="preserve">If you haven’t filled out the </w:t>
            </w:r>
            <w:hyperlink r:id="rId19" w:history="1">
              <w:r w:rsidRPr="00D438A1">
                <w:rPr>
                  <w:rStyle w:val="Hyperlink"/>
                  <w:rFonts w:ascii="Avenir Next LT Pro" w:hAnsi="Avenir Next LT Pro"/>
                  <w:b/>
                  <w:bCs/>
                </w:rPr>
                <w:t>NFO 2025 Survey</w:t>
              </w:r>
            </w:hyperlink>
            <w:r w:rsidRPr="00D438A1">
              <w:rPr>
                <w:rFonts w:ascii="Avenir Next LT Pro" w:hAnsi="Avenir Next LT Pro"/>
                <w:b/>
                <w:bCs/>
              </w:rPr>
              <w:t xml:space="preserve">, please </w:t>
            </w:r>
            <w:r w:rsidR="00BF5F97">
              <w:rPr>
                <w:rFonts w:ascii="Avenir Next LT Pro" w:hAnsi="Avenir Next LT Pro"/>
                <w:b/>
                <w:bCs/>
              </w:rPr>
              <w:t xml:space="preserve">complete it so we can </w:t>
            </w:r>
            <w:r w:rsidRPr="00D438A1">
              <w:rPr>
                <w:rFonts w:ascii="Avenir Next LT Pro" w:hAnsi="Avenir Next LT Pro"/>
                <w:b/>
                <w:bCs/>
              </w:rPr>
              <w:t>plan for August!</w:t>
            </w:r>
          </w:p>
          <w:p w14:paraId="49902ABA" w14:textId="7A59353B" w:rsidR="00931514" w:rsidRPr="0051013A" w:rsidRDefault="00931514" w:rsidP="000648DA">
            <w:pPr>
              <w:jc w:val="center"/>
              <w:rPr>
                <w:rFonts w:ascii="Avenir Next LT Pro" w:hAnsi="Avenir Next LT Pro"/>
                <w:noProof/>
              </w:rPr>
            </w:pPr>
          </w:p>
        </w:tc>
      </w:tr>
      <w:tr w:rsidR="00031EFF" w:rsidRPr="0051013A" w14:paraId="49A72DF9" w14:textId="77777777" w:rsidTr="7D7EC534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795193FC" w14:textId="77777777" w:rsidR="00031EFF" w:rsidRPr="0051013A" w:rsidRDefault="00031EFF" w:rsidP="005E2364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12069B" w:rsidRPr="0051013A" w14:paraId="6753704C" w14:textId="77777777" w:rsidTr="7D7EC534">
        <w:trPr>
          <w:trHeight w:val="300"/>
        </w:trPr>
        <w:tc>
          <w:tcPr>
            <w:tcW w:w="2233" w:type="dxa"/>
            <w:gridSpan w:val="2"/>
          </w:tcPr>
          <w:p w14:paraId="183D2B49" w14:textId="42F0C2DA" w:rsidR="00031EFF" w:rsidRPr="0051013A" w:rsidRDefault="0081646B" w:rsidP="005E2364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29700854" wp14:editId="5BC029FD">
                  <wp:extent cx="878774" cy="878774"/>
                  <wp:effectExtent l="0" t="0" r="0" b="0"/>
                  <wp:docPr id="773339329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3932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gridSpan w:val="5"/>
          </w:tcPr>
          <w:p w14:paraId="7DB257AC" w14:textId="21F8914C" w:rsidR="00031EFF" w:rsidRPr="0051013A" w:rsidRDefault="00031EFF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 w:rsidR="00A61930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2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 w:rsidR="00860428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Introduction to Canvas</w:t>
            </w:r>
          </w:p>
          <w:p w14:paraId="4E029131" w14:textId="77777777" w:rsidR="00860428" w:rsidRDefault="00860428" w:rsidP="001B4065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7678BA88" w14:textId="09A120C2" w:rsidR="001179A0" w:rsidRPr="009B435A" w:rsidRDefault="00D438A1" w:rsidP="00BF5F97">
            <w:pPr>
              <w:jc w:val="center"/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FB5C6AA" wp14:editId="5F5505BE">
                  <wp:simplePos x="0" y="0"/>
                  <wp:positionH relativeFrom="column">
                    <wp:posOffset>3175</wp:posOffset>
                  </wp:positionH>
                  <wp:positionV relativeFrom="page">
                    <wp:posOffset>2540</wp:posOffset>
                  </wp:positionV>
                  <wp:extent cx="447040" cy="3242945"/>
                  <wp:effectExtent l="0" t="0" r="0" b="0"/>
                  <wp:wrapSquare wrapText="bothSides"/>
                  <wp:docPr id="6" name="Picture 6">
                    <a:hlinkClick xmlns:a="http://schemas.openxmlformats.org/drawingml/2006/main" r:id="rId20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20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324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0AAB">
              <w:rPr>
                <w:noProof/>
                <w:color w:val="FFFFFF" w:themeColor="background1"/>
                <w:sz w:val="2"/>
                <w:szCs w:val="2"/>
              </w:rPr>
              <w:drawing>
                <wp:anchor distT="0" distB="0" distL="114300" distR="114300" simplePos="0" relativeHeight="251661312" behindDoc="1" locked="0" layoutInCell="1" allowOverlap="1" wp14:anchorId="73BE0400" wp14:editId="5BCA3E50">
                  <wp:simplePos x="0" y="0"/>
                  <wp:positionH relativeFrom="column">
                    <wp:posOffset>2579370</wp:posOffset>
                  </wp:positionH>
                  <wp:positionV relativeFrom="page">
                    <wp:posOffset>22106</wp:posOffset>
                  </wp:positionV>
                  <wp:extent cx="1838325" cy="1969770"/>
                  <wp:effectExtent l="19050" t="19050" r="28575" b="11430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969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82C83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" w:history="1">
              <w:r w:rsidRPr="003E11CE">
                <w:rPr>
                  <w:rStyle w:val="Hyperlink"/>
                  <w:rFonts w:ascii="Avenir Next LT Pro" w:eastAsia="Aptos" w:hAnsi="Avenir Next LT Pro" w:cs="Aptos"/>
                  <w:iCs/>
                </w:rPr>
                <w:t>Canvas</w:t>
              </w:r>
            </w:hyperlink>
            <w:r>
              <w:rPr>
                <w:rFonts w:ascii="Avenir Next LT Pro" w:eastAsia="Aptos" w:hAnsi="Avenir Next LT Pro" w:cs="Aptos"/>
                <w:iCs/>
              </w:rPr>
              <w:t xml:space="preserve"> is </w:t>
            </w:r>
            <w:r w:rsidR="00BF5F97">
              <w:rPr>
                <w:rFonts w:ascii="Avenir Next LT Pro" w:eastAsia="Aptos" w:hAnsi="Avenir Next LT Pro" w:cs="Aptos"/>
                <w:iCs/>
              </w:rPr>
              <w:t>ECU’s p</w:t>
            </w:r>
            <w:r>
              <w:rPr>
                <w:rFonts w:ascii="Avenir Next LT Pro" w:eastAsia="Aptos" w:hAnsi="Avenir Next LT Pro" w:cs="Aptos"/>
                <w:iCs/>
              </w:rPr>
              <w:t xml:space="preserve">rimary learning </w:t>
            </w:r>
            <w:r w:rsidR="00BF5F97">
              <w:rPr>
                <w:rFonts w:ascii="Avenir Next LT Pro" w:eastAsia="Aptos" w:hAnsi="Avenir Next LT Pro" w:cs="Aptos"/>
                <w:iCs/>
              </w:rPr>
              <w:t>management system</w:t>
            </w:r>
            <w:r>
              <w:rPr>
                <w:rFonts w:ascii="Avenir Next LT Pro" w:eastAsia="Aptos" w:hAnsi="Avenir Next LT Pro" w:cs="Aptos"/>
                <w:iCs/>
              </w:rPr>
              <w:t xml:space="preserve">. You can </w:t>
            </w:r>
            <w:r w:rsidR="00BF5F97">
              <w:rPr>
                <w:rFonts w:ascii="Avenir Next LT Pro" w:eastAsia="Aptos" w:hAnsi="Avenir Next LT Pro" w:cs="Aptos"/>
                <w:iCs/>
              </w:rPr>
              <w:t xml:space="preserve">access and manage your </w:t>
            </w:r>
            <w:r>
              <w:rPr>
                <w:rFonts w:ascii="Avenir Next LT Pro" w:eastAsia="Aptos" w:hAnsi="Avenir Next LT Pro" w:cs="Aptos"/>
                <w:iCs/>
              </w:rPr>
              <w:t xml:space="preserve">account </w:t>
            </w:r>
            <w:r w:rsidR="00FD67E9">
              <w:rPr>
                <w:rFonts w:ascii="Avenir Next LT Pro" w:eastAsia="Aptos" w:hAnsi="Avenir Next LT Pro" w:cs="Aptos"/>
                <w:iCs/>
              </w:rPr>
              <w:t>on the page linked above</w:t>
            </w:r>
            <w:r w:rsidR="00BF5F97" w:rsidRPr="00BF5F97">
              <w:rPr>
                <w:rFonts w:ascii="Avenir Next LT Pro" w:eastAsia="Aptos" w:hAnsi="Avenir Next LT Pro" w:cs="Aptos"/>
                <w:iCs/>
              </w:rPr>
              <w:t>, where you'll find your dashboard, courses, notifications, and more. It</w:t>
            </w:r>
            <w:r w:rsidR="004D5B05">
              <w:rPr>
                <w:rFonts w:ascii="Avenir Next LT Pro" w:eastAsia="Aptos" w:hAnsi="Avenir Next LT Pro" w:cs="Aptos"/>
                <w:iCs/>
              </w:rPr>
              <w:t xml:space="preserve"> is</w:t>
            </w:r>
            <w:r w:rsidR="00BF5F97" w:rsidRPr="00BF5F97">
              <w:rPr>
                <w:rFonts w:ascii="Avenir Next LT Pro" w:eastAsia="Aptos" w:hAnsi="Avenir Next LT Pro" w:cs="Aptos"/>
                <w:iCs/>
              </w:rPr>
              <w:t xml:space="preserve"> your central hub for organizing and delivering course content.</w:t>
            </w:r>
          </w:p>
          <w:p w14:paraId="7E70D7A5" w14:textId="77777777" w:rsidR="009B435A" w:rsidRDefault="009B435A" w:rsidP="001B4065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7AFE9D90" w14:textId="1593D029" w:rsidR="00D438A1" w:rsidRDefault="00DE7CE4" w:rsidP="00D438A1">
            <w:pPr>
              <w:rPr>
                <w:rFonts w:ascii="Avenir Next LT Pro" w:eastAsia="Aptos" w:hAnsi="Avenir Next LT Pro" w:cs="Aptos"/>
                <w:iCs/>
              </w:rPr>
            </w:pPr>
            <w:r w:rsidRPr="00DE7CE4">
              <w:rPr>
                <w:rFonts w:ascii="Avenir Next LT Pro" w:eastAsia="Aptos" w:hAnsi="Avenir Next LT Pro" w:cs="Aptos"/>
                <w:iCs/>
              </w:rPr>
              <w:t xml:space="preserve">Canvas offers a range of resources to help you get started and make the most of the platform. You’ll have access to live and recorded training sessions, one-on-one consultations, and 24/7 live chat support. </w:t>
            </w:r>
            <w:r w:rsidR="00FD67E9">
              <w:rPr>
                <w:rFonts w:ascii="Avenir Next LT Pro" w:eastAsia="Aptos" w:hAnsi="Avenir Next LT Pro" w:cs="Aptos"/>
                <w:iCs/>
              </w:rPr>
              <w:t>B</w:t>
            </w:r>
            <w:r w:rsidRPr="00DE7CE4">
              <w:rPr>
                <w:rFonts w:ascii="Avenir Next LT Pro" w:eastAsia="Aptos" w:hAnsi="Avenir Next LT Pro" w:cs="Aptos"/>
                <w:iCs/>
              </w:rPr>
              <w:t xml:space="preserve">uilt-in tools and guides </w:t>
            </w:r>
            <w:r w:rsidR="00FD67E9">
              <w:rPr>
                <w:rFonts w:ascii="Avenir Next LT Pro" w:eastAsia="Aptos" w:hAnsi="Avenir Next LT Pro" w:cs="Aptos"/>
                <w:iCs/>
              </w:rPr>
              <w:t xml:space="preserve">can also </w:t>
            </w:r>
            <w:r w:rsidRPr="00DE7CE4">
              <w:rPr>
                <w:rFonts w:ascii="Avenir Next LT Pro" w:eastAsia="Aptos" w:hAnsi="Avenir Next LT Pro" w:cs="Aptos"/>
                <w:iCs/>
              </w:rPr>
              <w:t>help your students navigate the platform successfully.</w:t>
            </w:r>
          </w:p>
          <w:p w14:paraId="4014F484" w14:textId="77777777" w:rsidR="00DE7CE4" w:rsidRDefault="00DE7CE4" w:rsidP="00D438A1">
            <w:pPr>
              <w:rPr>
                <w:rFonts w:ascii="Avenir Next LT Pro" w:eastAsia="Aptos" w:hAnsi="Avenir Next LT Pro" w:cs="Aptos"/>
                <w:iCs/>
                <w:color w:val="000000" w:themeColor="text1"/>
              </w:rPr>
            </w:pPr>
          </w:p>
          <w:p w14:paraId="4452E71E" w14:textId="65CF78B9" w:rsidR="00D438A1" w:rsidRDefault="00D438A1" w:rsidP="00D438A1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iCs/>
              </w:rPr>
              <w:t xml:space="preserve">Some faculty in the Brody School of Medicine may use the </w:t>
            </w:r>
            <w:hyperlink r:id="rId24" w:history="1">
              <w:r w:rsidR="006D7ED4">
                <w:rPr>
                  <w:rStyle w:val="Hyperlink"/>
                  <w:rFonts w:ascii="Avenir Next LT Pro" w:eastAsia="Aptos" w:hAnsi="Avenir Next LT Pro" w:cs="Aptos"/>
                  <w:iCs/>
                </w:rPr>
                <w:t>VidaNova</w:t>
              </w:r>
            </w:hyperlink>
            <w:r>
              <w:rPr>
                <w:rFonts w:ascii="Avenir Next LT Pro" w:eastAsia="Aptos" w:hAnsi="Avenir Next LT Pro" w:cs="Aptos"/>
                <w:iCs/>
              </w:rPr>
              <w:t xml:space="preserve"> learning platform. Like Canvas, </w:t>
            </w:r>
            <w:r w:rsidR="006D7ED4">
              <w:rPr>
                <w:rFonts w:ascii="Avenir Next LT Pro" w:eastAsia="Aptos" w:hAnsi="Avenir Next LT Pro" w:cs="Aptos"/>
                <w:iCs/>
              </w:rPr>
              <w:t xml:space="preserve">VidaNova </w:t>
            </w:r>
            <w:r w:rsidR="00DE7CE4">
              <w:rPr>
                <w:rFonts w:ascii="Avenir Next LT Pro" w:eastAsia="Aptos" w:hAnsi="Avenir Next LT Pro" w:cs="Aptos"/>
                <w:iCs/>
              </w:rPr>
              <w:t>is supported by a robust set of t</w:t>
            </w:r>
            <w:r>
              <w:rPr>
                <w:rFonts w:ascii="Avenir Next LT Pro" w:eastAsia="Aptos" w:hAnsi="Avenir Next LT Pro" w:cs="Aptos"/>
                <w:iCs/>
              </w:rPr>
              <w:t>utorials</w:t>
            </w:r>
            <w:r w:rsidR="00DE7CE4">
              <w:rPr>
                <w:rFonts w:ascii="Avenir Next LT Pro" w:eastAsia="Aptos" w:hAnsi="Avenir Next LT Pro" w:cs="Aptos"/>
                <w:iCs/>
              </w:rPr>
              <w:t xml:space="preserve"> and resources to help you teach effectively.</w:t>
            </w:r>
          </w:p>
          <w:p w14:paraId="01C7C168" w14:textId="45BD2BFF" w:rsidR="00D438A1" w:rsidRPr="0051013A" w:rsidRDefault="00D438A1" w:rsidP="003E11CE">
            <w:pPr>
              <w:rPr>
                <w:rFonts w:ascii="Avenir Next LT Pro" w:hAnsi="Avenir Next LT Pro"/>
              </w:rPr>
            </w:pPr>
          </w:p>
        </w:tc>
      </w:tr>
      <w:tr w:rsidR="00F04F56" w:rsidRPr="0051013A" w14:paraId="6B9DEA6E" w14:textId="77777777" w:rsidTr="7D7EC534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60C473DE" w14:textId="77777777" w:rsidR="00F04F56" w:rsidRPr="0051013A" w:rsidRDefault="00F04F56" w:rsidP="00687723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12069B" w:rsidRPr="0051013A" w14:paraId="16A37D6F" w14:textId="77777777" w:rsidTr="7D7EC534">
        <w:trPr>
          <w:trHeight w:val="300"/>
        </w:trPr>
        <w:tc>
          <w:tcPr>
            <w:tcW w:w="2233" w:type="dxa"/>
            <w:gridSpan w:val="2"/>
          </w:tcPr>
          <w:p w14:paraId="2437758C" w14:textId="77777777" w:rsidR="00F04F56" w:rsidRPr="0051013A" w:rsidRDefault="00F04F56" w:rsidP="00687723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190FD7E7" wp14:editId="0FDA84D3">
                  <wp:extent cx="878774" cy="878774"/>
                  <wp:effectExtent l="0" t="0" r="0" b="0"/>
                  <wp:docPr id="199538247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3932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gridSpan w:val="5"/>
          </w:tcPr>
          <w:p w14:paraId="7EA551CC" w14:textId="08D2C82A" w:rsidR="00F04F56" w:rsidRPr="0051013A" w:rsidRDefault="00F04F56" w:rsidP="00687723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3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 w:rsidR="002D555B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Prepare Courses in Canvas</w:t>
            </w:r>
          </w:p>
          <w:p w14:paraId="6353FE38" w14:textId="77777777" w:rsidR="00747190" w:rsidRPr="009B435A" w:rsidRDefault="00747190" w:rsidP="00747190">
            <w:pPr>
              <w:rPr>
                <w:rFonts w:ascii="Avenir Next LT Pro" w:hAnsi="Avenir Next LT Pro"/>
              </w:rPr>
            </w:pPr>
          </w:p>
          <w:p w14:paraId="1980CA06" w14:textId="720CF67D" w:rsidR="00F04F56" w:rsidRDefault="007100F4" w:rsidP="00B902B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The first day of classes will be here before you know it, and it's never too early to get started on your Canvas</w:t>
            </w:r>
            <w:r w:rsidR="00FD67E9">
              <w:rPr>
                <w:rFonts w:ascii="Avenir Next LT Pro" w:hAnsi="Avenir Next LT Pro"/>
              </w:rPr>
              <w:t xml:space="preserve"> resources</w:t>
            </w:r>
            <w:r>
              <w:rPr>
                <w:rFonts w:ascii="Avenir Next LT Pro" w:hAnsi="Avenir Next LT Pro"/>
              </w:rPr>
              <w:t xml:space="preserve">! Get underway using this guide for </w:t>
            </w:r>
            <w:hyperlink r:id="rId25" w:history="1">
              <w:r w:rsidRPr="006D7ED4">
                <w:rPr>
                  <w:rStyle w:val="Hyperlink"/>
                  <w:rFonts w:ascii="Avenir Next LT Pro" w:hAnsi="Avenir Next LT Pro"/>
                </w:rPr>
                <w:t>Canvas Semester Essentials</w:t>
              </w:r>
            </w:hyperlink>
            <w:r>
              <w:rPr>
                <w:rFonts w:ascii="Avenir Next LT Pro" w:hAnsi="Avenir Next LT Pro"/>
              </w:rPr>
              <w:t xml:space="preserve">. </w:t>
            </w:r>
          </w:p>
          <w:p w14:paraId="1114D30E" w14:textId="77777777" w:rsidR="007100F4" w:rsidRDefault="007100F4" w:rsidP="00B902BB">
            <w:pPr>
              <w:rPr>
                <w:rFonts w:ascii="Avenir Next LT Pro" w:hAnsi="Avenir Next LT Pro"/>
              </w:rPr>
            </w:pPr>
          </w:p>
          <w:p w14:paraId="588945DF" w14:textId="1867A447" w:rsidR="007100F4" w:rsidRDefault="007100F4" w:rsidP="00B902B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ECU also offers a wide variety of Canvas </w:t>
            </w:r>
            <w:hyperlink r:id="rId26" w:history="1">
              <w:r w:rsidRPr="007100F4">
                <w:rPr>
                  <w:rStyle w:val="Hyperlink"/>
                  <w:rFonts w:ascii="Avenir Next LT Pro" w:hAnsi="Avenir Next LT Pro"/>
                </w:rPr>
                <w:t>instructor guides</w:t>
              </w:r>
            </w:hyperlink>
            <w:r>
              <w:rPr>
                <w:rFonts w:ascii="Avenir Next LT Pro" w:hAnsi="Avenir Next LT Pro"/>
              </w:rPr>
              <w:t>, a self-paced “</w:t>
            </w:r>
            <w:hyperlink r:id="rId27" w:history="1">
              <w:r w:rsidRPr="007100F4">
                <w:rPr>
                  <w:rStyle w:val="Hyperlink"/>
                  <w:rFonts w:ascii="Avenir Next LT Pro" w:hAnsi="Avenir Next LT Pro"/>
                </w:rPr>
                <w:t>Getting Started with Canvas</w:t>
              </w:r>
            </w:hyperlink>
            <w:r>
              <w:rPr>
                <w:rFonts w:ascii="Avenir Next LT Pro" w:hAnsi="Avenir Next LT Pro"/>
              </w:rPr>
              <w:t xml:space="preserve">” course, and  </w:t>
            </w:r>
            <w:hyperlink r:id="rId28" w:history="1">
              <w:r w:rsidRPr="007100F4">
                <w:rPr>
                  <w:rStyle w:val="Hyperlink"/>
                  <w:rFonts w:ascii="Avenir Next LT Pro" w:hAnsi="Avenir Next LT Pro"/>
                </w:rPr>
                <w:t>comprehensive training through LinkedIn Learning</w:t>
              </w:r>
            </w:hyperlink>
            <w:r>
              <w:rPr>
                <w:rFonts w:ascii="Avenir Next LT Pro" w:hAnsi="Avenir Next LT Pro"/>
              </w:rPr>
              <w:t xml:space="preserve">. </w:t>
            </w:r>
          </w:p>
          <w:p w14:paraId="1FDBAE38" w14:textId="77777777" w:rsidR="007100F4" w:rsidRDefault="007100F4" w:rsidP="00B902BB">
            <w:pPr>
              <w:rPr>
                <w:rFonts w:ascii="Avenir Next LT Pro" w:hAnsi="Avenir Next LT Pro"/>
              </w:rPr>
            </w:pPr>
          </w:p>
          <w:p w14:paraId="0BD8C8FE" w14:textId="653A6448" w:rsidR="001B4065" w:rsidRPr="0051013A" w:rsidRDefault="007100F4" w:rsidP="007100F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Need additional support? You can </w:t>
            </w:r>
            <w:hyperlink r:id="rId29" w:history="1">
              <w:r w:rsidRPr="00264A70">
                <w:rPr>
                  <w:rStyle w:val="Hyperlink"/>
                  <w:rFonts w:ascii="Avenir Next LT Pro" w:hAnsi="Avenir Next LT Pro"/>
                </w:rPr>
                <w:t xml:space="preserve">register for additional </w:t>
              </w:r>
              <w:r w:rsidR="00264A70" w:rsidRPr="00264A70">
                <w:rPr>
                  <w:rStyle w:val="Hyperlink"/>
                  <w:rFonts w:ascii="Avenir Next LT Pro" w:hAnsi="Avenir Next LT Pro"/>
                </w:rPr>
                <w:t>training</w:t>
              </w:r>
              <w:r w:rsidRPr="00264A70">
                <w:rPr>
                  <w:rStyle w:val="Hyperlink"/>
                  <w:rFonts w:ascii="Avenir Next LT Pro" w:hAnsi="Avenir Next LT Pro"/>
                </w:rPr>
                <w:t xml:space="preserve"> or book a consultation with a Canvas expert</w:t>
              </w:r>
            </w:hyperlink>
            <w:r>
              <w:rPr>
                <w:rFonts w:ascii="Avenir Next LT Pro" w:hAnsi="Avenir Next LT Pro"/>
              </w:rPr>
              <w:t xml:space="preserve">. You can access 24/7 assistance through Canvas Help. Just log in to Canvas and start a live chat.  </w:t>
            </w:r>
          </w:p>
        </w:tc>
      </w:tr>
      <w:tr w:rsidR="0012069B" w:rsidRPr="0051013A" w14:paraId="7984A50B" w14:textId="77777777" w:rsidTr="7D7EC534">
        <w:trPr>
          <w:trHeight w:val="300"/>
        </w:trPr>
        <w:tc>
          <w:tcPr>
            <w:tcW w:w="6164" w:type="dxa"/>
            <w:gridSpan w:val="4"/>
            <w:tcBorders>
              <w:bottom w:val="single" w:sz="4" w:space="0" w:color="auto"/>
            </w:tcBorders>
            <w:vAlign w:val="center"/>
          </w:tcPr>
          <w:p w14:paraId="4B225356" w14:textId="0C4CA035" w:rsidR="00F04F56" w:rsidRPr="0051013A" w:rsidRDefault="00F04F56" w:rsidP="00031EFF">
            <w:pPr>
              <w:spacing w:line="480" w:lineRule="auto"/>
              <w:rPr>
                <w:rFonts w:ascii="Avenir Next LT Pro" w:hAnsi="Avenir Next LT Pro"/>
              </w:rPr>
            </w:pP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vAlign w:val="center"/>
          </w:tcPr>
          <w:p w14:paraId="1CEADF49" w14:textId="2E7DD9C1" w:rsidR="000648DA" w:rsidRPr="0051013A" w:rsidRDefault="000648DA" w:rsidP="000648DA">
            <w:pPr>
              <w:spacing w:line="480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9B435A" w:rsidRPr="0051013A" w14:paraId="79728402" w14:textId="77777777" w:rsidTr="7D7EC534">
        <w:trPr>
          <w:gridAfter w:val="1"/>
          <w:wAfter w:w="33" w:type="dxa"/>
          <w:trHeight w:val="300"/>
        </w:trPr>
        <w:tc>
          <w:tcPr>
            <w:tcW w:w="2017" w:type="dxa"/>
          </w:tcPr>
          <w:p w14:paraId="6A474390" w14:textId="77777777" w:rsidR="001B4065" w:rsidRDefault="001B4065" w:rsidP="00687723">
            <w:pPr>
              <w:ind w:right="210"/>
              <w:rPr>
                <w:rFonts w:ascii="Avenir Next LT Pro" w:eastAsiaTheme="majorEastAsia" w:hAnsi="Avenir Next LT Pro" w:cs="Segoe UI"/>
                <w:noProof/>
                <w:color w:val="000000"/>
              </w:rPr>
            </w:pPr>
          </w:p>
          <w:p w14:paraId="0F5948F4" w14:textId="24DDC124" w:rsidR="001B4065" w:rsidRPr="0051013A" w:rsidRDefault="001B4065" w:rsidP="00687723">
            <w:pPr>
              <w:ind w:right="210"/>
              <w:rPr>
                <w:rFonts w:ascii="Avenir Next LT Pro" w:eastAsiaTheme="majorEastAsia" w:hAnsi="Avenir Next LT Pro" w:cs="Segoe UI"/>
                <w:color w:val="000000"/>
              </w:rPr>
            </w:pPr>
            <w:r w:rsidRPr="0051013A">
              <w:rPr>
                <w:rFonts w:ascii="Avenir Next LT Pro" w:eastAsiaTheme="majorEastAsia" w:hAnsi="Avenir Next LT Pro" w:cs="Segoe UI"/>
                <w:noProof/>
                <w:color w:val="000000"/>
              </w:rPr>
              <w:drawing>
                <wp:inline distT="0" distB="0" distL="0" distR="0" wp14:anchorId="393F46C6" wp14:editId="29170CC7">
                  <wp:extent cx="1028700" cy="1028700"/>
                  <wp:effectExtent l="0" t="0" r="0" b="0"/>
                  <wp:docPr id="1900637221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37221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42" cy="104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071BC" w14:textId="77777777" w:rsidR="001B4065" w:rsidRPr="0051013A" w:rsidRDefault="001B4065" w:rsidP="00687723">
            <w:pPr>
              <w:ind w:right="210"/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  <w:tc>
          <w:tcPr>
            <w:tcW w:w="7310" w:type="dxa"/>
            <w:gridSpan w:val="5"/>
          </w:tcPr>
          <w:p w14:paraId="7C2822DE" w14:textId="2388504D" w:rsidR="001B4065" w:rsidRPr="00147CBF" w:rsidRDefault="001B4065" w:rsidP="00687723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Find Your Spot: </w:t>
            </w:r>
            <w:r w:rsidR="002D555B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ECU Athletics</w:t>
            </w: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</w:p>
          <w:p w14:paraId="2ACE9C4E" w14:textId="77777777" w:rsidR="001B4065" w:rsidRPr="00147CBF" w:rsidRDefault="001B4065" w:rsidP="00687723">
            <w:pPr>
              <w:rPr>
                <w:rFonts w:ascii="Avenir Next LT Pro" w:hAnsi="Avenir Next LT Pro"/>
              </w:rPr>
            </w:pPr>
          </w:p>
          <w:p w14:paraId="5A3EDA66" w14:textId="36F3DB4D" w:rsidR="001B4065" w:rsidRDefault="00D438A1" w:rsidP="001B4065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 w:rsidRPr="00264A70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With </w:t>
            </w:r>
            <w:r w:rsid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14</w:t>
            </w:r>
            <w:r w:rsidRPr="00264A70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men’s and women’s teams, ECU </w:t>
            </w:r>
            <w:r w:rsid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A</w:t>
            </w:r>
            <w:r w:rsidRPr="00264A70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thletics </w:t>
            </w:r>
            <w:r w:rsid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has something for every sports fan, from baseball and basketball to volleyball and beyond. </w:t>
            </w:r>
            <w:r w:rsidR="00A06616" w:rsidRP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Want to learn more about the teams, meet the players, or grab tickets</w:t>
            </w:r>
            <w:r w:rsid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? Visit</w:t>
            </w:r>
            <w:r w:rsidRPr="00264A70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</w:t>
            </w:r>
            <w:hyperlink r:id="rId31" w:history="1">
              <w:r w:rsidRPr="00264A70"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ECU Athletics</w:t>
              </w:r>
            </w:hyperlink>
            <w:r w:rsidRPr="00264A70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</w:t>
            </w:r>
            <w:r w:rsidR="00A06616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for the latest updates and schedules.</w:t>
            </w:r>
          </w:p>
          <w:p w14:paraId="7C58E5BD" w14:textId="572D3DA5" w:rsidR="00264A70" w:rsidRPr="004D6C04" w:rsidRDefault="00264A70" w:rsidP="00687723">
            <w:pPr>
              <w:rPr>
                <w:rStyle w:val="eop"/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B0F00C9" wp14:editId="78C559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179070</wp:posOffset>
                  </wp:positionV>
                  <wp:extent cx="4338955" cy="1818640"/>
                  <wp:effectExtent l="0" t="0" r="4445" b="0"/>
                  <wp:wrapSquare wrapText="bothSides"/>
                  <wp:docPr id="137710462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0462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95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69B" w:rsidRPr="0051013A" w14:paraId="4AD2AD90" w14:textId="77777777" w:rsidTr="7D7EC534">
        <w:trPr>
          <w:trHeight w:val="300"/>
        </w:trPr>
        <w:tc>
          <w:tcPr>
            <w:tcW w:w="6164" w:type="dxa"/>
            <w:gridSpan w:val="4"/>
            <w:tcBorders>
              <w:bottom w:val="single" w:sz="4" w:space="0" w:color="auto"/>
            </w:tcBorders>
            <w:vAlign w:val="center"/>
          </w:tcPr>
          <w:p w14:paraId="41BB9CDC" w14:textId="77777777" w:rsidR="00264A70" w:rsidRPr="0051013A" w:rsidRDefault="00264A70" w:rsidP="00031EFF">
            <w:pPr>
              <w:spacing w:line="480" w:lineRule="auto"/>
              <w:rPr>
                <w:rFonts w:ascii="Avenir Next LT Pro" w:hAnsi="Avenir Next LT Pro"/>
              </w:rPr>
            </w:pP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vAlign w:val="center"/>
          </w:tcPr>
          <w:p w14:paraId="557D8135" w14:textId="77777777" w:rsidR="001B4065" w:rsidRPr="0051013A" w:rsidRDefault="001B4065" w:rsidP="000648DA">
            <w:pPr>
              <w:spacing w:line="480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648DA" w:rsidRPr="0051013A" w14:paraId="1A325A10" w14:textId="77777777" w:rsidTr="7D7EC534">
        <w:trPr>
          <w:trHeight w:val="300"/>
        </w:trPr>
        <w:tc>
          <w:tcPr>
            <w:tcW w:w="9360" w:type="dxa"/>
            <w:gridSpan w:val="7"/>
          </w:tcPr>
          <w:p w14:paraId="782763F3" w14:textId="4DD51C26" w:rsidR="000648DA" w:rsidRPr="0051013A" w:rsidRDefault="000648DA" w:rsidP="000648DA">
            <w:pPr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</w:tr>
      <w:tr w:rsidR="000648DA" w:rsidRPr="0051013A" w14:paraId="702CC99F" w14:textId="77777777" w:rsidTr="7D7EC534">
        <w:trPr>
          <w:trHeight w:val="300"/>
        </w:trPr>
        <w:tc>
          <w:tcPr>
            <w:tcW w:w="9360" w:type="dxa"/>
            <w:gridSpan w:val="7"/>
          </w:tcPr>
          <w:p w14:paraId="0C45E347" w14:textId="4D85379C" w:rsidR="00A92411" w:rsidRPr="0051013A" w:rsidRDefault="00A92411" w:rsidP="000648DA">
            <w:pPr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</w:tr>
      <w:tr w:rsidR="0012069B" w:rsidRPr="0051013A" w14:paraId="7A96BE60" w14:textId="77777777" w:rsidTr="7D7EC534">
        <w:trPr>
          <w:trHeight w:val="300"/>
        </w:trPr>
        <w:tc>
          <w:tcPr>
            <w:tcW w:w="2233" w:type="dxa"/>
            <w:gridSpan w:val="2"/>
          </w:tcPr>
          <w:p w14:paraId="52B7A6FB" w14:textId="17BB46EE" w:rsidR="0081646B" w:rsidRPr="0051013A" w:rsidRDefault="002C0A76" w:rsidP="0081646B">
            <w:pPr>
              <w:ind w:right="210"/>
              <w:rPr>
                <w:rFonts w:ascii="Avenir Next LT Pro" w:eastAsiaTheme="majorEastAsia" w:hAnsi="Avenir Next LT Pro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9CC44C" wp14:editId="45FFE1CC">
                  <wp:extent cx="971550" cy="971550"/>
                  <wp:effectExtent l="0" t="0" r="0" b="0"/>
                  <wp:docPr id="2055792665" name="Picture 20557926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92665" name="Picture 205579266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8BFF4" w14:textId="663C4A41" w:rsidR="00031EFF" w:rsidRPr="0051013A" w:rsidRDefault="00031EFF" w:rsidP="00031EFF">
            <w:pPr>
              <w:ind w:right="210"/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  <w:tc>
          <w:tcPr>
            <w:tcW w:w="7127" w:type="dxa"/>
            <w:gridSpan w:val="5"/>
            <w:shd w:val="clear" w:color="auto" w:fill="FFFFFF" w:themeFill="background1"/>
          </w:tcPr>
          <w:p w14:paraId="6E058168" w14:textId="592FC78B" w:rsidR="00031EFF" w:rsidRPr="00147CBF" w:rsidRDefault="00031EFF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Find Your </w:t>
            </w:r>
            <w:r w:rsidR="002C0A76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Purpose</w:t>
            </w: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 w:rsidR="002D555B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Multiple Means of </w:t>
            </w:r>
            <w:r w:rsidR="002D555B" w:rsidRPr="00D438A1">
              <w:rPr>
                <w:rFonts w:ascii="Avenir Next LT Pro" w:hAnsi="Avenir Next LT Pro"/>
                <w:b/>
                <w:bCs/>
                <w:color w:val="000000" w:themeColor="text1"/>
                <w:sz w:val="36"/>
                <w:szCs w:val="36"/>
              </w:rPr>
              <w:t>Engagement</w:t>
            </w:r>
            <w:r w:rsidR="002D555B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(UDL)</w:t>
            </w: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</w:p>
          <w:p w14:paraId="64426439" w14:textId="77777777" w:rsidR="00031EFF" w:rsidRPr="00147CBF" w:rsidRDefault="00031EFF" w:rsidP="00031EFF">
            <w:pPr>
              <w:rPr>
                <w:rFonts w:ascii="Avenir Next LT Pro" w:hAnsi="Avenir Next LT Pro"/>
              </w:rPr>
            </w:pPr>
          </w:p>
          <w:p w14:paraId="21859959" w14:textId="5FCC25EF" w:rsidR="001B4065" w:rsidRDefault="00DE7CE4" w:rsidP="7D7EC534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Hear from </w:t>
            </w:r>
            <w:r w:rsidR="00D438A1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Justin Littlefield 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again as he </w:t>
            </w:r>
            <w:r w:rsidRPr="00DE7CE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explores one of the core pillars of UDL: </w:t>
            </w:r>
            <w:hyperlink r:id="rId34" w:history="1">
              <w:r w:rsidRPr="003E11CE"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Multiple Means of Engagement</w:t>
              </w:r>
            </w:hyperlink>
            <w:r w:rsidRPr="00DE7CE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.</w:t>
            </w:r>
          </w:p>
          <w:p w14:paraId="31ABF778" w14:textId="77777777" w:rsidR="00D438A1" w:rsidRDefault="00D438A1" w:rsidP="7D7EC534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</w:p>
          <w:p w14:paraId="55C64FE7" w14:textId="5A8D0F0D" w:rsidR="00D438A1" w:rsidRDefault="00DE7CE4" w:rsidP="7D7EC534">
            <w:pP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</w:pPr>
            <w:r w:rsidRPr="00DE7CE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Staying focused on clear goals is essential for fostering engagement. In the video below, </w:t>
            </w:r>
            <w:r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>Justin</w:t>
            </w:r>
            <w:r w:rsidRPr="00DE7CE4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explains how sharing the purpose behind each course module and assignment helps students stay motivated and on track. He also emphasizes a central aim of UDL: supporting students in becoming expert learners.</w:t>
            </w:r>
          </w:p>
          <w:p w14:paraId="5B5923CD" w14:textId="77777777" w:rsidR="003E11CE" w:rsidRDefault="003E11CE" w:rsidP="7D7EC534">
            <w:pPr>
              <w:rPr>
                <w:rFonts w:ascii="Avenir Next LT Pro" w:eastAsia="Aptos" w:hAnsi="Avenir Next LT Pro" w:cs="Aptos"/>
                <w:color w:val="000000" w:themeColor="text1"/>
              </w:rPr>
            </w:pPr>
          </w:p>
          <w:p w14:paraId="3997A075" w14:textId="08F38C63" w:rsidR="00D438A1" w:rsidRPr="0012069B" w:rsidRDefault="00D438A1" w:rsidP="7D7EC534">
            <w:pPr>
              <w:rPr>
                <w:rFonts w:ascii="Avenir Next LT Pro" w:eastAsia="Aptos" w:hAnsi="Avenir Next LT Pro" w:cs="Aptos"/>
                <w:color w:val="000000" w:themeColor="text1"/>
              </w:rPr>
            </w:pPr>
            <w:r>
              <w:rPr>
                <w:rFonts w:ascii="Avenir Next LT Pro" w:eastAsia="Aptos" w:hAnsi="Avenir Next LT Pro" w:cs="Aptos"/>
                <w:bCs/>
                <w:iCs/>
                <w:noProof/>
                <w:color w:val="000000" w:themeColor="text1"/>
              </w:rPr>
              <w:lastRenderedPageBreak/>
              <w:drawing>
                <wp:inline distT="0" distB="0" distL="0" distR="0" wp14:anchorId="025D6A51" wp14:editId="54C44951">
                  <wp:extent cx="4572000" cy="3429000"/>
                  <wp:effectExtent l="0" t="0" r="0" b="0"/>
                  <wp:docPr id="870946306" name="Video 5" descr="UDL Multiple Means of Engagement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46306" name="Video 5" descr="UDL Multiple Means of Engagement">
                            <a:hlinkClick r:id="rId35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YBbq3lv7CXY?feature=oembed&quot; frameborder=&quot;0&quot; allow=&quot;accelerometer; autoplay; clipboard-write; encrypted-media; gyroscope; picture-in-picture; web-share&quot; referrerpolicy=&quot;strict-origin-when-cross-origin&quot; allowfullscreen=&quot;&quot; title=&quot;UDL Multiple Means of Engagement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8CCD5" w14:textId="1EBF234E" w:rsidR="00AE25C4" w:rsidRPr="00147CBF" w:rsidRDefault="00AE25C4" w:rsidP="7D7EC534">
            <w:pPr>
              <w:rPr>
                <w:rStyle w:val="eop"/>
                <w:rFonts w:ascii="Avenir Next LT Pro" w:hAnsi="Avenir Next LT Pro"/>
              </w:rPr>
            </w:pPr>
          </w:p>
        </w:tc>
      </w:tr>
      <w:tr w:rsidR="009B435A" w14:paraId="65329F37" w14:textId="77777777" w:rsidTr="7D7EC534">
        <w:trPr>
          <w:gridAfter w:val="2"/>
          <w:wAfter w:w="1494" w:type="dxa"/>
          <w:trHeight w:val="300"/>
        </w:trPr>
        <w:tc>
          <w:tcPr>
            <w:tcW w:w="4189" w:type="dxa"/>
            <w:gridSpan w:val="3"/>
            <w:vAlign w:val="center"/>
          </w:tcPr>
          <w:p w14:paraId="0118214F" w14:textId="5C30DB03" w:rsidR="0006395C" w:rsidRPr="009835B4" w:rsidRDefault="0006395C" w:rsidP="00A40931">
            <w:pPr>
              <w:rPr>
                <w:rFonts w:ascii="Avenir Next LT Pro" w:eastAsia="Avenir Next LT Pro" w:hAnsi="Avenir Next LT Pro" w:cs="Avenir Next LT Pro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15C2974A" w14:textId="20C30131" w:rsidR="0006395C" w:rsidRPr="009835B4" w:rsidRDefault="0006395C" w:rsidP="00A40931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0C657042" w14:textId="77777777" w:rsidTr="7D7EC534">
        <w:trPr>
          <w:trHeight w:val="300"/>
        </w:trPr>
        <w:tc>
          <w:tcPr>
            <w:tcW w:w="9360" w:type="dxa"/>
            <w:gridSpan w:val="7"/>
            <w:shd w:val="clear" w:color="auto" w:fill="582C83"/>
            <w:vAlign w:val="center"/>
          </w:tcPr>
          <w:p w14:paraId="77F4FB9B" w14:textId="77777777" w:rsidR="0006395C" w:rsidRPr="0051013A" w:rsidRDefault="0006395C" w:rsidP="0006395C">
            <w:pPr>
              <w:jc w:val="center"/>
              <w:rPr>
                <w:rFonts w:ascii="Avenir Next LT Pro" w:eastAsia="Avenir Next LT Pro" w:hAnsi="Avenir Next LT Pro" w:cs="Avenir Next LT Pro"/>
                <w:noProof/>
              </w:rPr>
            </w:pPr>
          </w:p>
        </w:tc>
      </w:tr>
      <w:tr w:rsidR="0006395C" w:rsidRPr="0051013A" w14:paraId="5CC1E715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34985DBF" w14:textId="77777777" w:rsidR="0006395C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  <w:p w14:paraId="60AF99FC" w14:textId="16F448C5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Directions to websites in this newsletter:</w:t>
            </w:r>
          </w:p>
          <w:p w14:paraId="677789E5" w14:textId="765EC7FB" w:rsidR="00FA70D5" w:rsidRPr="003E11CE" w:rsidRDefault="003E11CE" w:rsidP="001159EB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37" w:history="1">
              <w:r w:rsidRPr="003E11CE"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Center for Communication Excellence</w:t>
              </w:r>
            </w:hyperlink>
          </w:p>
          <w:p w14:paraId="3C649F05" w14:textId="77777777" w:rsidR="003E11CE" w:rsidRPr="003E11CE" w:rsidRDefault="003E11CE" w:rsidP="003E11CE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38" w:history="1">
              <w:r w:rsidRPr="003E11CE">
                <w:rPr>
                  <w:rStyle w:val="Hyperlink"/>
                  <w:rFonts w:ascii="Avenir Next LT Pro" w:hAnsi="Avenir Next LT Pro"/>
                </w:rPr>
                <w:t>New Faculty Orientation Information Survey Link</w:t>
              </w:r>
            </w:hyperlink>
          </w:p>
          <w:p w14:paraId="30B02449" w14:textId="706CC6C1" w:rsidR="003E11CE" w:rsidRPr="003E11CE" w:rsidRDefault="003E11CE" w:rsidP="001159EB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39" w:history="1">
              <w:r w:rsidRPr="003E11CE">
                <w:rPr>
                  <w:rStyle w:val="Hyperlink"/>
                  <w:rFonts w:ascii="Avenir Next LT Pro" w:eastAsia="Aptos" w:hAnsi="Avenir Next LT Pro" w:cs="Aptos"/>
                  <w:iCs/>
                </w:rPr>
                <w:t>Canvas</w:t>
              </w:r>
            </w:hyperlink>
          </w:p>
          <w:p w14:paraId="728B523B" w14:textId="463BC4AF" w:rsidR="003E11CE" w:rsidRPr="006D7ED4" w:rsidRDefault="006D7ED4" w:rsidP="003E11CE">
            <w:pPr>
              <w:numPr>
                <w:ilvl w:val="0"/>
                <w:numId w:val="1"/>
              </w:numPr>
              <w:rPr>
                <w:rStyle w:val="Hyperlink"/>
                <w:rFonts w:ascii="Avenir Next LT Pro" w:hAnsi="Avenir Next LT Pro"/>
                <w:color w:val="auto"/>
                <w:u w:val="none"/>
              </w:rPr>
            </w:pPr>
            <w:hyperlink r:id="rId40" w:history="1">
              <w:r>
                <w:rPr>
                  <w:rStyle w:val="Hyperlink"/>
                  <w:rFonts w:ascii="Avenir Next LT Pro" w:eastAsia="Aptos" w:hAnsi="Avenir Next LT Pro" w:cs="Aptos"/>
                  <w:iCs/>
                </w:rPr>
                <w:t>VidaNova</w:t>
              </w:r>
            </w:hyperlink>
          </w:p>
          <w:p w14:paraId="147304E2" w14:textId="794AC19B" w:rsidR="006D7ED4" w:rsidRPr="00264A70" w:rsidRDefault="006D7ED4" w:rsidP="003E11CE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1" w:history="1">
              <w:r w:rsidRPr="006D7ED4">
                <w:rPr>
                  <w:rStyle w:val="Hyperlink"/>
                  <w:rFonts w:ascii="Avenir Next LT Pro" w:hAnsi="Avenir Next LT Pro"/>
                </w:rPr>
                <w:t>Canvas Semester Essentials</w:t>
              </w:r>
            </w:hyperlink>
          </w:p>
          <w:p w14:paraId="218C5B0E" w14:textId="2FB87D62" w:rsidR="00264A70" w:rsidRDefault="00264A70" w:rsidP="003E11CE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2" w:history="1">
              <w:r>
                <w:rPr>
                  <w:rStyle w:val="Hyperlink"/>
                  <w:rFonts w:ascii="Avenir Next LT Pro" w:hAnsi="Avenir Next LT Pro"/>
                </w:rPr>
                <w:t>Canvas Instructor Guides</w:t>
              </w:r>
            </w:hyperlink>
          </w:p>
          <w:p w14:paraId="0E869FC8" w14:textId="5DAC7161" w:rsidR="00264A70" w:rsidRDefault="00264A70" w:rsidP="003E11CE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3" w:history="1">
              <w:r w:rsidRPr="007100F4">
                <w:rPr>
                  <w:rStyle w:val="Hyperlink"/>
                  <w:rFonts w:ascii="Avenir Next LT Pro" w:hAnsi="Avenir Next LT Pro"/>
                </w:rPr>
                <w:t>Getting Started with Canvas</w:t>
              </w:r>
            </w:hyperlink>
          </w:p>
          <w:p w14:paraId="33C659C8" w14:textId="02E090F9" w:rsidR="00264A70" w:rsidRPr="00264A70" w:rsidRDefault="00264A70" w:rsidP="003E11CE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4" w:history="1">
              <w:r w:rsidRPr="00264A70">
                <w:rPr>
                  <w:rStyle w:val="Hyperlink"/>
                  <w:rFonts w:ascii="Avenir Next LT Pro" w:hAnsi="Avenir Next LT Pro"/>
                </w:rPr>
                <w:t>LinkedIn Learning Canvas Training</w:t>
              </w:r>
            </w:hyperlink>
          </w:p>
          <w:p w14:paraId="62D42232" w14:textId="09D5EC68" w:rsidR="003E11CE" w:rsidRPr="00264A70" w:rsidRDefault="00264A70" w:rsidP="00FA70D5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5" w:history="1">
              <w:r w:rsidRPr="00264A70">
                <w:rPr>
                  <w:rStyle w:val="Hyperlink"/>
                  <w:rFonts w:ascii="Avenir Next LT Pro" w:hAnsi="Avenir Next LT Pro"/>
                </w:rPr>
                <w:t>Book a Canvas Consult</w:t>
              </w:r>
            </w:hyperlink>
          </w:p>
          <w:p w14:paraId="1D5F946F" w14:textId="77777777" w:rsidR="003E11CE" w:rsidRPr="003E11CE" w:rsidRDefault="003E11CE" w:rsidP="7D7EC534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6" w:history="1">
              <w:r w:rsidRPr="003E11CE"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ECU Athletics</w:t>
              </w:r>
            </w:hyperlink>
            <w:r w:rsidRPr="003E11CE">
              <w:rPr>
                <w:rFonts w:ascii="Avenir Next LT Pro" w:eastAsia="Aptos" w:hAnsi="Avenir Next LT Pro" w:cs="Aptos"/>
                <w:bCs/>
                <w:iCs/>
                <w:color w:val="000000" w:themeColor="text1"/>
              </w:rPr>
              <w:t xml:space="preserve"> </w:t>
            </w:r>
          </w:p>
          <w:p w14:paraId="1CCBFB03" w14:textId="61DF3677" w:rsidR="003E11CE" w:rsidRPr="00264A70" w:rsidRDefault="003E11CE" w:rsidP="7D7EC534">
            <w:pPr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hyperlink r:id="rId47" w:history="1">
              <w:r>
                <w:rPr>
                  <w:rStyle w:val="Hyperlink"/>
                  <w:rFonts w:ascii="Avenir Next LT Pro" w:eastAsia="Aptos" w:hAnsi="Avenir Next LT Pro" w:cs="Aptos"/>
                  <w:bCs/>
                  <w:iCs/>
                </w:rPr>
                <w:t>UDL: Multiple Means of Engagement</w:t>
              </w:r>
            </w:hyperlink>
          </w:p>
          <w:p w14:paraId="1D5EE69D" w14:textId="1BF49E64" w:rsidR="00147CBF" w:rsidRPr="00147CBF" w:rsidRDefault="00147CBF" w:rsidP="0088626D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5C751E25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58E175E8" w14:textId="703328C4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You</w:t>
            </w:r>
            <w:r w:rsidRPr="0051013A">
              <w:rPr>
                <w:rFonts w:ascii="Avenir Next LT Pro" w:hAnsi="Avenir Next LT Pro"/>
              </w:rPr>
              <w:t xml:space="preserve"> can visit the </w:t>
            </w:r>
            <w:hyperlink r:id="rId48" w:history="1">
              <w:r w:rsidRPr="0051013A">
                <w:rPr>
                  <w:rStyle w:val="Hyperlink"/>
                  <w:rFonts w:ascii="Avenir Next LT Pro" w:hAnsi="Avenir Next LT Pro"/>
                </w:rPr>
                <w:t>NFO 2025 Find Your Fit website</w:t>
              </w:r>
            </w:hyperlink>
            <w:r w:rsidRPr="0051013A">
              <w:rPr>
                <w:rFonts w:ascii="Avenir Next LT Pro" w:hAnsi="Avenir Next LT Pro"/>
              </w:rPr>
              <w:t xml:space="preserve"> to view the newsletters released each week</w:t>
            </w:r>
            <w:r>
              <w:rPr>
                <w:rFonts w:ascii="Avenir Next LT Pro" w:hAnsi="Avenir Next LT Pro"/>
              </w:rPr>
              <w:t>,</w:t>
            </w:r>
            <w:r w:rsidRPr="0051013A">
              <w:rPr>
                <w:rFonts w:ascii="Avenir Next LT Pro" w:hAnsi="Avenir Next LT Pro"/>
              </w:rPr>
              <w:t xml:space="preserve"> as well as access previously released content. </w:t>
            </w:r>
          </w:p>
        </w:tc>
      </w:tr>
      <w:tr w:rsidR="0006395C" w:rsidRPr="0051013A" w14:paraId="41F5FC5D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128CE33B" w14:textId="77777777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2D610169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52449DA7" w14:textId="20543551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 xml:space="preserve">Please reach out if you have any questions by replying to this email or emailing </w:t>
            </w:r>
            <w:hyperlink r:id="rId49" w:history="1">
              <w:r w:rsidRPr="0051013A">
                <w:rPr>
                  <w:rStyle w:val="Hyperlink"/>
                  <w:rFonts w:ascii="Avenir Next LT Pro" w:eastAsia="Avenir Next LT Pro" w:hAnsi="Avenir Next LT Pro" w:cs="Avenir Next LT Pro"/>
                </w:rPr>
                <w:t>ofe@ecu.edu</w:t>
              </w:r>
            </w:hyperlink>
            <w:r w:rsidRPr="0051013A">
              <w:rPr>
                <w:rFonts w:ascii="Avenir Next LT Pro" w:eastAsia="Avenir Next LT Pro" w:hAnsi="Avenir Next LT Pro" w:cs="Avenir Next LT Pro"/>
              </w:rPr>
              <w:t>. Stay tuned for next week’s newsletter!</w:t>
            </w:r>
          </w:p>
        </w:tc>
      </w:tr>
      <w:tr w:rsidR="0006395C" w:rsidRPr="0051013A" w14:paraId="66C28329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6E30F20B" w14:textId="77777777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40C94C51" w14:textId="77777777" w:rsidTr="7D7EC534">
        <w:trPr>
          <w:trHeight w:val="300"/>
        </w:trPr>
        <w:tc>
          <w:tcPr>
            <w:tcW w:w="9360" w:type="dxa"/>
            <w:gridSpan w:val="7"/>
            <w:vAlign w:val="center"/>
          </w:tcPr>
          <w:p w14:paraId="490786C0" w14:textId="21F5357A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-The New Faculty Orientation (NFO) 2025 Team!</w:t>
            </w:r>
          </w:p>
        </w:tc>
      </w:tr>
      <w:bookmarkEnd w:id="0"/>
      <w:bookmarkEnd w:id="1"/>
    </w:tbl>
    <w:p w14:paraId="6ECEAD1F" w14:textId="2F8EAD19" w:rsidR="005712FA" w:rsidRPr="0051013A" w:rsidRDefault="005712FA" w:rsidP="00512B08">
      <w:pPr>
        <w:spacing w:after="0"/>
        <w:rPr>
          <w:rFonts w:ascii="Avenir Next LT Pro" w:hAnsi="Avenir Next LT Pro"/>
          <w:i/>
          <w:iCs/>
        </w:rPr>
      </w:pPr>
    </w:p>
    <w:sectPr w:rsidR="005712FA" w:rsidRPr="0051013A" w:rsidSect="001C576B">
      <w:headerReference w:type="default" r:id="rId50"/>
      <w:headerReference w:type="first" r:id="rId5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7E3F" w14:textId="77777777" w:rsidR="00CC502C" w:rsidRDefault="00500C13">
      <w:pPr>
        <w:spacing w:after="0" w:line="240" w:lineRule="auto"/>
      </w:pPr>
      <w:r>
        <w:separator/>
      </w:r>
    </w:p>
  </w:endnote>
  <w:endnote w:type="continuationSeparator" w:id="0">
    <w:p w14:paraId="7B2B4432" w14:textId="77777777" w:rsidR="00CC502C" w:rsidRDefault="00500C13">
      <w:pPr>
        <w:spacing w:after="0" w:line="240" w:lineRule="auto"/>
      </w:pPr>
      <w:r>
        <w:continuationSeparator/>
      </w:r>
    </w:p>
  </w:endnote>
  <w:endnote w:type="continuationNotice" w:id="1">
    <w:p w14:paraId="6010BF03" w14:textId="77777777" w:rsidR="007E36B7" w:rsidRDefault="007E3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5660" w14:textId="77777777" w:rsidR="00CC502C" w:rsidRDefault="00500C13">
      <w:pPr>
        <w:spacing w:after="0" w:line="240" w:lineRule="auto"/>
      </w:pPr>
      <w:r>
        <w:separator/>
      </w:r>
    </w:p>
  </w:footnote>
  <w:footnote w:type="continuationSeparator" w:id="0">
    <w:p w14:paraId="34E8A5D3" w14:textId="77777777" w:rsidR="00CC502C" w:rsidRDefault="00500C13">
      <w:pPr>
        <w:spacing w:after="0" w:line="240" w:lineRule="auto"/>
      </w:pPr>
      <w:r>
        <w:continuationSeparator/>
      </w:r>
    </w:p>
  </w:footnote>
  <w:footnote w:type="continuationNotice" w:id="1">
    <w:p w14:paraId="79169506" w14:textId="77777777" w:rsidR="007E36B7" w:rsidRDefault="007E3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E518" w14:textId="12CAE06C" w:rsidR="74FDAC56" w:rsidRPr="00C948B0" w:rsidRDefault="74FDAC56" w:rsidP="001C576B">
    <w:pPr>
      <w:pStyle w:val="Header"/>
      <w:tabs>
        <w:tab w:val="clear" w:pos="4680"/>
        <w:tab w:val="clear" w:pos="9360"/>
        <w:tab w:val="left" w:pos="3765"/>
      </w:tabs>
      <w:rPr>
        <w:rFonts w:ascii="Avenir Next LT Pro" w:hAnsi="Avenir Next LT 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72CC" w14:textId="5B05A6ED" w:rsidR="001C576B" w:rsidRPr="001C576B" w:rsidRDefault="001C576B">
    <w:pPr>
      <w:pStyle w:val="Header"/>
      <w:rPr>
        <w:rFonts w:ascii="Avenir Next LT Pro" w:hAnsi="Avenir Next LT Pro"/>
      </w:rPr>
    </w:pPr>
    <w:r w:rsidRPr="18E90529">
      <w:rPr>
        <w:rFonts w:ascii="Avenir Next LT Pro" w:hAnsi="Avenir Next LT Pro"/>
      </w:rPr>
      <w:t>Subject Line: New Faculty Orientation 202</w:t>
    </w:r>
    <w:r w:rsidR="00154A63">
      <w:rPr>
        <w:rFonts w:ascii="Avenir Next LT Pro" w:hAnsi="Avenir Next LT Pro"/>
      </w:rPr>
      <w:t>5</w:t>
    </w:r>
    <w:r w:rsidR="002244B2">
      <w:rPr>
        <w:rFonts w:ascii="Avenir Next LT Pro" w:hAnsi="Avenir Next LT Pro"/>
      </w:rPr>
      <w:t>:</w:t>
    </w:r>
    <w:r w:rsidRPr="18E90529">
      <w:rPr>
        <w:rFonts w:ascii="Avenir Next LT Pro" w:hAnsi="Avenir Next LT Pro"/>
      </w:rPr>
      <w:t xml:space="preserve"> </w:t>
    </w:r>
    <w:r w:rsidR="0003348D">
      <w:rPr>
        <w:rFonts w:ascii="Avenir Next LT Pro" w:hAnsi="Avenir Next LT Pro"/>
      </w:rPr>
      <w:t>July 3</w:t>
    </w:r>
    <w:r w:rsidR="002244B2">
      <w:rPr>
        <w:rFonts w:ascii="Avenir Next LT Pro" w:hAnsi="Avenir Next LT Pro"/>
      </w:rPr>
      <w:t xml:space="preserve">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5BC5"/>
    <w:multiLevelType w:val="hybridMultilevel"/>
    <w:tmpl w:val="E3EEAA1A"/>
    <w:lvl w:ilvl="0" w:tplc="32C4F3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76CBF"/>
    <w:multiLevelType w:val="hybridMultilevel"/>
    <w:tmpl w:val="B3901092"/>
    <w:lvl w:ilvl="0" w:tplc="373A1A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C52"/>
    <w:multiLevelType w:val="hybridMultilevel"/>
    <w:tmpl w:val="1160E9EA"/>
    <w:lvl w:ilvl="0" w:tplc="6F6A938E"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90029"/>
    <w:multiLevelType w:val="hybridMultilevel"/>
    <w:tmpl w:val="3654B2C0"/>
    <w:lvl w:ilvl="0" w:tplc="FEC804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B137E"/>
    <w:multiLevelType w:val="multilevel"/>
    <w:tmpl w:val="166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4F93"/>
    <w:multiLevelType w:val="hybridMultilevel"/>
    <w:tmpl w:val="0FFED8E0"/>
    <w:lvl w:ilvl="0" w:tplc="87286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70280">
    <w:abstractNumId w:val="5"/>
  </w:num>
  <w:num w:numId="2" w16cid:durableId="372464820">
    <w:abstractNumId w:val="2"/>
  </w:num>
  <w:num w:numId="3" w16cid:durableId="1815681086">
    <w:abstractNumId w:val="0"/>
  </w:num>
  <w:num w:numId="4" w16cid:durableId="1837301901">
    <w:abstractNumId w:val="3"/>
  </w:num>
  <w:num w:numId="5" w16cid:durableId="1952666149">
    <w:abstractNumId w:val="1"/>
  </w:num>
  <w:num w:numId="6" w16cid:durableId="1364210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BA901"/>
    <w:rsid w:val="000011D7"/>
    <w:rsid w:val="0002007F"/>
    <w:rsid w:val="00023A54"/>
    <w:rsid w:val="00031EFF"/>
    <w:rsid w:val="0003348D"/>
    <w:rsid w:val="000347DA"/>
    <w:rsid w:val="00044F95"/>
    <w:rsid w:val="0005526A"/>
    <w:rsid w:val="0006395C"/>
    <w:rsid w:val="0006479C"/>
    <w:rsid w:val="000648DA"/>
    <w:rsid w:val="00073D20"/>
    <w:rsid w:val="00076E9A"/>
    <w:rsid w:val="00082206"/>
    <w:rsid w:val="0008474C"/>
    <w:rsid w:val="00085DE7"/>
    <w:rsid w:val="00095B7C"/>
    <w:rsid w:val="000A6B5C"/>
    <w:rsid w:val="000B3703"/>
    <w:rsid w:val="000B3B52"/>
    <w:rsid w:val="000B5BE6"/>
    <w:rsid w:val="000B6152"/>
    <w:rsid w:val="000C09D7"/>
    <w:rsid w:val="000C69A3"/>
    <w:rsid w:val="000C75FB"/>
    <w:rsid w:val="000D5E14"/>
    <w:rsid w:val="000E078C"/>
    <w:rsid w:val="000E28C6"/>
    <w:rsid w:val="000E6848"/>
    <w:rsid w:val="001022C8"/>
    <w:rsid w:val="00110D5D"/>
    <w:rsid w:val="001126C2"/>
    <w:rsid w:val="0011520E"/>
    <w:rsid w:val="00117398"/>
    <w:rsid w:val="001179A0"/>
    <w:rsid w:val="0012069B"/>
    <w:rsid w:val="0012728A"/>
    <w:rsid w:val="00140B51"/>
    <w:rsid w:val="0014449B"/>
    <w:rsid w:val="00147CBF"/>
    <w:rsid w:val="001513B5"/>
    <w:rsid w:val="00154A63"/>
    <w:rsid w:val="00171CFD"/>
    <w:rsid w:val="00184E63"/>
    <w:rsid w:val="00185D5F"/>
    <w:rsid w:val="00187DBB"/>
    <w:rsid w:val="00193634"/>
    <w:rsid w:val="001A65BC"/>
    <w:rsid w:val="001A697A"/>
    <w:rsid w:val="001B4065"/>
    <w:rsid w:val="001C22C2"/>
    <w:rsid w:val="001C576B"/>
    <w:rsid w:val="001D0444"/>
    <w:rsid w:val="001D3666"/>
    <w:rsid w:val="001E1544"/>
    <w:rsid w:val="001E7703"/>
    <w:rsid w:val="001F7396"/>
    <w:rsid w:val="002027F9"/>
    <w:rsid w:val="00220A14"/>
    <w:rsid w:val="00221E3B"/>
    <w:rsid w:val="002244B2"/>
    <w:rsid w:val="00234C67"/>
    <w:rsid w:val="00247E3A"/>
    <w:rsid w:val="002552AB"/>
    <w:rsid w:val="00264A70"/>
    <w:rsid w:val="0027129A"/>
    <w:rsid w:val="002A19C4"/>
    <w:rsid w:val="002C090F"/>
    <w:rsid w:val="002C0A76"/>
    <w:rsid w:val="002D555B"/>
    <w:rsid w:val="002E1C8D"/>
    <w:rsid w:val="002F6954"/>
    <w:rsid w:val="002F7353"/>
    <w:rsid w:val="00313EF7"/>
    <w:rsid w:val="00315009"/>
    <w:rsid w:val="003158A3"/>
    <w:rsid w:val="00320173"/>
    <w:rsid w:val="00320B30"/>
    <w:rsid w:val="00323AA0"/>
    <w:rsid w:val="00340983"/>
    <w:rsid w:val="00343AF3"/>
    <w:rsid w:val="00346E83"/>
    <w:rsid w:val="003506CF"/>
    <w:rsid w:val="00353FC9"/>
    <w:rsid w:val="00370BB3"/>
    <w:rsid w:val="00383418"/>
    <w:rsid w:val="00384092"/>
    <w:rsid w:val="00386CA4"/>
    <w:rsid w:val="003A1CA8"/>
    <w:rsid w:val="003C077F"/>
    <w:rsid w:val="003C5B57"/>
    <w:rsid w:val="003C67BA"/>
    <w:rsid w:val="003E0104"/>
    <w:rsid w:val="003E11CE"/>
    <w:rsid w:val="003F1BAB"/>
    <w:rsid w:val="003F2F66"/>
    <w:rsid w:val="003F4EA9"/>
    <w:rsid w:val="0040124C"/>
    <w:rsid w:val="004016B3"/>
    <w:rsid w:val="00403BB8"/>
    <w:rsid w:val="004046C4"/>
    <w:rsid w:val="00404F38"/>
    <w:rsid w:val="00411813"/>
    <w:rsid w:val="00422376"/>
    <w:rsid w:val="00423E4F"/>
    <w:rsid w:val="0043122E"/>
    <w:rsid w:val="0043151E"/>
    <w:rsid w:val="00444F72"/>
    <w:rsid w:val="00467815"/>
    <w:rsid w:val="00472108"/>
    <w:rsid w:val="004722F8"/>
    <w:rsid w:val="004729E7"/>
    <w:rsid w:val="00474ADA"/>
    <w:rsid w:val="0048381D"/>
    <w:rsid w:val="00486047"/>
    <w:rsid w:val="00496824"/>
    <w:rsid w:val="004A3128"/>
    <w:rsid w:val="004B4C40"/>
    <w:rsid w:val="004C59F2"/>
    <w:rsid w:val="004D2C77"/>
    <w:rsid w:val="004D5B05"/>
    <w:rsid w:val="004D6C04"/>
    <w:rsid w:val="004F77C2"/>
    <w:rsid w:val="00500C13"/>
    <w:rsid w:val="00501929"/>
    <w:rsid w:val="0050195F"/>
    <w:rsid w:val="0051013A"/>
    <w:rsid w:val="00511F99"/>
    <w:rsid w:val="00512B08"/>
    <w:rsid w:val="00513BC9"/>
    <w:rsid w:val="0052061E"/>
    <w:rsid w:val="00523324"/>
    <w:rsid w:val="00524354"/>
    <w:rsid w:val="005346AA"/>
    <w:rsid w:val="00534B21"/>
    <w:rsid w:val="00534BD1"/>
    <w:rsid w:val="005540CE"/>
    <w:rsid w:val="005606AF"/>
    <w:rsid w:val="00570129"/>
    <w:rsid w:val="005712FA"/>
    <w:rsid w:val="005759BA"/>
    <w:rsid w:val="0058319F"/>
    <w:rsid w:val="00585F1B"/>
    <w:rsid w:val="005860C5"/>
    <w:rsid w:val="00587F13"/>
    <w:rsid w:val="005932BE"/>
    <w:rsid w:val="005A6118"/>
    <w:rsid w:val="005A66A2"/>
    <w:rsid w:val="005B30F3"/>
    <w:rsid w:val="005B4EE7"/>
    <w:rsid w:val="005C3F6B"/>
    <w:rsid w:val="005C7BA8"/>
    <w:rsid w:val="005D6471"/>
    <w:rsid w:val="005D6BDE"/>
    <w:rsid w:val="005E1D13"/>
    <w:rsid w:val="005E396C"/>
    <w:rsid w:val="005E5C2A"/>
    <w:rsid w:val="005E6EBA"/>
    <w:rsid w:val="005E71A1"/>
    <w:rsid w:val="005F3A01"/>
    <w:rsid w:val="00602687"/>
    <w:rsid w:val="0060698F"/>
    <w:rsid w:val="00616B91"/>
    <w:rsid w:val="006237AC"/>
    <w:rsid w:val="0063048D"/>
    <w:rsid w:val="0063089B"/>
    <w:rsid w:val="00631465"/>
    <w:rsid w:val="00631CCD"/>
    <w:rsid w:val="00641834"/>
    <w:rsid w:val="006527F7"/>
    <w:rsid w:val="006631E7"/>
    <w:rsid w:val="006661FE"/>
    <w:rsid w:val="006701F1"/>
    <w:rsid w:val="00670225"/>
    <w:rsid w:val="00677344"/>
    <w:rsid w:val="00680909"/>
    <w:rsid w:val="006867D2"/>
    <w:rsid w:val="006938AC"/>
    <w:rsid w:val="006A2B4C"/>
    <w:rsid w:val="006A2B54"/>
    <w:rsid w:val="006A3AD8"/>
    <w:rsid w:val="006A6355"/>
    <w:rsid w:val="006B2FC3"/>
    <w:rsid w:val="006C19A0"/>
    <w:rsid w:val="006C5FB2"/>
    <w:rsid w:val="006D1948"/>
    <w:rsid w:val="006D6639"/>
    <w:rsid w:val="006D7ED4"/>
    <w:rsid w:val="007100F4"/>
    <w:rsid w:val="0071058D"/>
    <w:rsid w:val="00710B2F"/>
    <w:rsid w:val="00717BE0"/>
    <w:rsid w:val="00734B1B"/>
    <w:rsid w:val="0073589B"/>
    <w:rsid w:val="00742E04"/>
    <w:rsid w:val="00747190"/>
    <w:rsid w:val="0075230F"/>
    <w:rsid w:val="00757B66"/>
    <w:rsid w:val="007711B6"/>
    <w:rsid w:val="00771B5E"/>
    <w:rsid w:val="00772DBC"/>
    <w:rsid w:val="0077383C"/>
    <w:rsid w:val="0077400E"/>
    <w:rsid w:val="00786636"/>
    <w:rsid w:val="007A16E1"/>
    <w:rsid w:val="007A1DFE"/>
    <w:rsid w:val="007A56AB"/>
    <w:rsid w:val="007B7882"/>
    <w:rsid w:val="007D4AF9"/>
    <w:rsid w:val="007D70CF"/>
    <w:rsid w:val="007E1BFC"/>
    <w:rsid w:val="007E36B7"/>
    <w:rsid w:val="007E770B"/>
    <w:rsid w:val="007E791C"/>
    <w:rsid w:val="007F0760"/>
    <w:rsid w:val="007F0815"/>
    <w:rsid w:val="007F2334"/>
    <w:rsid w:val="007F6D80"/>
    <w:rsid w:val="0081646B"/>
    <w:rsid w:val="00821129"/>
    <w:rsid w:val="00824498"/>
    <w:rsid w:val="0083051F"/>
    <w:rsid w:val="00832899"/>
    <w:rsid w:val="00840225"/>
    <w:rsid w:val="00841C79"/>
    <w:rsid w:val="00850A4F"/>
    <w:rsid w:val="00860428"/>
    <w:rsid w:val="00877EB4"/>
    <w:rsid w:val="00885072"/>
    <w:rsid w:val="0088579E"/>
    <w:rsid w:val="0088626D"/>
    <w:rsid w:val="00893237"/>
    <w:rsid w:val="008974D1"/>
    <w:rsid w:val="008B6749"/>
    <w:rsid w:val="008C21F7"/>
    <w:rsid w:val="008C54FD"/>
    <w:rsid w:val="008D05CF"/>
    <w:rsid w:val="008D656A"/>
    <w:rsid w:val="008E17C0"/>
    <w:rsid w:val="008E5035"/>
    <w:rsid w:val="008E558E"/>
    <w:rsid w:val="008E7DC2"/>
    <w:rsid w:val="008F112D"/>
    <w:rsid w:val="008F41F2"/>
    <w:rsid w:val="009041DD"/>
    <w:rsid w:val="009046BE"/>
    <w:rsid w:val="009111AA"/>
    <w:rsid w:val="009236CD"/>
    <w:rsid w:val="0092443A"/>
    <w:rsid w:val="00931514"/>
    <w:rsid w:val="00936B04"/>
    <w:rsid w:val="009416CA"/>
    <w:rsid w:val="00944CCC"/>
    <w:rsid w:val="009474F0"/>
    <w:rsid w:val="00956A5B"/>
    <w:rsid w:val="0097028B"/>
    <w:rsid w:val="00975944"/>
    <w:rsid w:val="009835B4"/>
    <w:rsid w:val="0099035F"/>
    <w:rsid w:val="00991A4D"/>
    <w:rsid w:val="00991B2F"/>
    <w:rsid w:val="009A48D6"/>
    <w:rsid w:val="009B435A"/>
    <w:rsid w:val="009B7A07"/>
    <w:rsid w:val="009C4B1E"/>
    <w:rsid w:val="009D1F61"/>
    <w:rsid w:val="009D29DB"/>
    <w:rsid w:val="009D305D"/>
    <w:rsid w:val="009D7836"/>
    <w:rsid w:val="009E0E6B"/>
    <w:rsid w:val="009E4823"/>
    <w:rsid w:val="009F0A2F"/>
    <w:rsid w:val="009F1708"/>
    <w:rsid w:val="009F3EC1"/>
    <w:rsid w:val="009F5EF4"/>
    <w:rsid w:val="009F7275"/>
    <w:rsid w:val="00A06616"/>
    <w:rsid w:val="00A16981"/>
    <w:rsid w:val="00A23BF2"/>
    <w:rsid w:val="00A258F1"/>
    <w:rsid w:val="00A31235"/>
    <w:rsid w:val="00A40931"/>
    <w:rsid w:val="00A42B60"/>
    <w:rsid w:val="00A46E03"/>
    <w:rsid w:val="00A54E17"/>
    <w:rsid w:val="00A56024"/>
    <w:rsid w:val="00A61930"/>
    <w:rsid w:val="00A702E8"/>
    <w:rsid w:val="00A72DCF"/>
    <w:rsid w:val="00A7570F"/>
    <w:rsid w:val="00A82E0E"/>
    <w:rsid w:val="00A8511D"/>
    <w:rsid w:val="00A87795"/>
    <w:rsid w:val="00A92411"/>
    <w:rsid w:val="00A9702F"/>
    <w:rsid w:val="00AA03AD"/>
    <w:rsid w:val="00AA366B"/>
    <w:rsid w:val="00AA4241"/>
    <w:rsid w:val="00AB1A3B"/>
    <w:rsid w:val="00AB786C"/>
    <w:rsid w:val="00AC037D"/>
    <w:rsid w:val="00AC44D0"/>
    <w:rsid w:val="00AC63CD"/>
    <w:rsid w:val="00AE25C4"/>
    <w:rsid w:val="00AF13C4"/>
    <w:rsid w:val="00AF2196"/>
    <w:rsid w:val="00AF63EB"/>
    <w:rsid w:val="00B00EF0"/>
    <w:rsid w:val="00B030EF"/>
    <w:rsid w:val="00B0745B"/>
    <w:rsid w:val="00B11CD3"/>
    <w:rsid w:val="00B12FE8"/>
    <w:rsid w:val="00B14384"/>
    <w:rsid w:val="00B52543"/>
    <w:rsid w:val="00B5621D"/>
    <w:rsid w:val="00B817D6"/>
    <w:rsid w:val="00B902BB"/>
    <w:rsid w:val="00B91758"/>
    <w:rsid w:val="00B92437"/>
    <w:rsid w:val="00BA228F"/>
    <w:rsid w:val="00BA5BED"/>
    <w:rsid w:val="00BB44DD"/>
    <w:rsid w:val="00BB529D"/>
    <w:rsid w:val="00BC5FAA"/>
    <w:rsid w:val="00BE257C"/>
    <w:rsid w:val="00BE5096"/>
    <w:rsid w:val="00BE52EB"/>
    <w:rsid w:val="00BE7D02"/>
    <w:rsid w:val="00BF0918"/>
    <w:rsid w:val="00BF5F97"/>
    <w:rsid w:val="00C04D3F"/>
    <w:rsid w:val="00C10453"/>
    <w:rsid w:val="00C12903"/>
    <w:rsid w:val="00C138C4"/>
    <w:rsid w:val="00C155AA"/>
    <w:rsid w:val="00C23D68"/>
    <w:rsid w:val="00C3360F"/>
    <w:rsid w:val="00C33831"/>
    <w:rsid w:val="00C42CCC"/>
    <w:rsid w:val="00C44E5B"/>
    <w:rsid w:val="00C47F69"/>
    <w:rsid w:val="00C50181"/>
    <w:rsid w:val="00C57887"/>
    <w:rsid w:val="00C61550"/>
    <w:rsid w:val="00C652B2"/>
    <w:rsid w:val="00C71005"/>
    <w:rsid w:val="00C72AC9"/>
    <w:rsid w:val="00C74121"/>
    <w:rsid w:val="00C76307"/>
    <w:rsid w:val="00C76815"/>
    <w:rsid w:val="00C83C97"/>
    <w:rsid w:val="00C8718E"/>
    <w:rsid w:val="00C908A6"/>
    <w:rsid w:val="00C948B0"/>
    <w:rsid w:val="00C97082"/>
    <w:rsid w:val="00CA1A48"/>
    <w:rsid w:val="00CA2109"/>
    <w:rsid w:val="00CA2587"/>
    <w:rsid w:val="00CA7555"/>
    <w:rsid w:val="00CB3188"/>
    <w:rsid w:val="00CC502C"/>
    <w:rsid w:val="00CD0D27"/>
    <w:rsid w:val="00CD39B4"/>
    <w:rsid w:val="00CF5F95"/>
    <w:rsid w:val="00D04608"/>
    <w:rsid w:val="00D30BAE"/>
    <w:rsid w:val="00D32F10"/>
    <w:rsid w:val="00D334AF"/>
    <w:rsid w:val="00D438A1"/>
    <w:rsid w:val="00D66BF0"/>
    <w:rsid w:val="00D7263B"/>
    <w:rsid w:val="00D82FEC"/>
    <w:rsid w:val="00D90FF4"/>
    <w:rsid w:val="00D913DF"/>
    <w:rsid w:val="00D96F9A"/>
    <w:rsid w:val="00DA353B"/>
    <w:rsid w:val="00DA4844"/>
    <w:rsid w:val="00DC0171"/>
    <w:rsid w:val="00DC1611"/>
    <w:rsid w:val="00DC2542"/>
    <w:rsid w:val="00DD7624"/>
    <w:rsid w:val="00DD7F3A"/>
    <w:rsid w:val="00DE7CE4"/>
    <w:rsid w:val="00E0013D"/>
    <w:rsid w:val="00E02FD5"/>
    <w:rsid w:val="00E24146"/>
    <w:rsid w:val="00E27A1E"/>
    <w:rsid w:val="00E31090"/>
    <w:rsid w:val="00E347D2"/>
    <w:rsid w:val="00E41B5D"/>
    <w:rsid w:val="00E42A86"/>
    <w:rsid w:val="00E57166"/>
    <w:rsid w:val="00E67F08"/>
    <w:rsid w:val="00E9060D"/>
    <w:rsid w:val="00E96B62"/>
    <w:rsid w:val="00E9788B"/>
    <w:rsid w:val="00E97A68"/>
    <w:rsid w:val="00EB402B"/>
    <w:rsid w:val="00EB4AA4"/>
    <w:rsid w:val="00EB77C9"/>
    <w:rsid w:val="00ED7C34"/>
    <w:rsid w:val="00EE7315"/>
    <w:rsid w:val="00F04F56"/>
    <w:rsid w:val="00F05C6B"/>
    <w:rsid w:val="00F156B5"/>
    <w:rsid w:val="00F31BAB"/>
    <w:rsid w:val="00F32810"/>
    <w:rsid w:val="00F355A4"/>
    <w:rsid w:val="00F37993"/>
    <w:rsid w:val="00F424CC"/>
    <w:rsid w:val="00F51015"/>
    <w:rsid w:val="00F52489"/>
    <w:rsid w:val="00F55641"/>
    <w:rsid w:val="00F671D6"/>
    <w:rsid w:val="00F70C81"/>
    <w:rsid w:val="00F74E52"/>
    <w:rsid w:val="00F80DFD"/>
    <w:rsid w:val="00F81C5D"/>
    <w:rsid w:val="00F82B52"/>
    <w:rsid w:val="00F917FD"/>
    <w:rsid w:val="00F94260"/>
    <w:rsid w:val="00FA4B1B"/>
    <w:rsid w:val="00FA70D5"/>
    <w:rsid w:val="00FD67E9"/>
    <w:rsid w:val="00FF0325"/>
    <w:rsid w:val="04EDC918"/>
    <w:rsid w:val="051C9E92"/>
    <w:rsid w:val="05FE5813"/>
    <w:rsid w:val="072BA898"/>
    <w:rsid w:val="0868649F"/>
    <w:rsid w:val="08BB39DC"/>
    <w:rsid w:val="0A3AFC47"/>
    <w:rsid w:val="0B193859"/>
    <w:rsid w:val="0BAC8106"/>
    <w:rsid w:val="0FABD7BA"/>
    <w:rsid w:val="11C11061"/>
    <w:rsid w:val="120F3ED3"/>
    <w:rsid w:val="1498508A"/>
    <w:rsid w:val="14E23683"/>
    <w:rsid w:val="1514494B"/>
    <w:rsid w:val="15DC3761"/>
    <w:rsid w:val="167F2001"/>
    <w:rsid w:val="18609F7F"/>
    <w:rsid w:val="18E90529"/>
    <w:rsid w:val="1ACCB370"/>
    <w:rsid w:val="1B588522"/>
    <w:rsid w:val="2190FB45"/>
    <w:rsid w:val="219AA373"/>
    <w:rsid w:val="222CCD81"/>
    <w:rsid w:val="248988E3"/>
    <w:rsid w:val="24DF7656"/>
    <w:rsid w:val="27336105"/>
    <w:rsid w:val="28E521CD"/>
    <w:rsid w:val="2D8BD56D"/>
    <w:rsid w:val="2DD3C196"/>
    <w:rsid w:val="2E62EEAF"/>
    <w:rsid w:val="2EB0DD6D"/>
    <w:rsid w:val="301A9D8C"/>
    <w:rsid w:val="34D37BC7"/>
    <w:rsid w:val="35C2B3F9"/>
    <w:rsid w:val="36ACB538"/>
    <w:rsid w:val="37DB62E5"/>
    <w:rsid w:val="3AB5DCDF"/>
    <w:rsid w:val="3CF0D3C6"/>
    <w:rsid w:val="3E3F1C57"/>
    <w:rsid w:val="400705A4"/>
    <w:rsid w:val="40899B93"/>
    <w:rsid w:val="408DDEF4"/>
    <w:rsid w:val="41063C6D"/>
    <w:rsid w:val="4239735C"/>
    <w:rsid w:val="433BC25E"/>
    <w:rsid w:val="434BA901"/>
    <w:rsid w:val="4427C083"/>
    <w:rsid w:val="4587F28C"/>
    <w:rsid w:val="462101D2"/>
    <w:rsid w:val="46B611BD"/>
    <w:rsid w:val="4797F9C1"/>
    <w:rsid w:val="480C111B"/>
    <w:rsid w:val="4A40553D"/>
    <w:rsid w:val="4A8189FF"/>
    <w:rsid w:val="4C935B91"/>
    <w:rsid w:val="4D62D561"/>
    <w:rsid w:val="4DBE892D"/>
    <w:rsid w:val="4F827FE1"/>
    <w:rsid w:val="51F2FD4D"/>
    <w:rsid w:val="52BF4501"/>
    <w:rsid w:val="552F117C"/>
    <w:rsid w:val="554850A3"/>
    <w:rsid w:val="5A82FC8D"/>
    <w:rsid w:val="5E623F76"/>
    <w:rsid w:val="5EEFEB28"/>
    <w:rsid w:val="63EA0D1E"/>
    <w:rsid w:val="6658BDA1"/>
    <w:rsid w:val="69F172E1"/>
    <w:rsid w:val="6BEAAC7A"/>
    <w:rsid w:val="6EA21F79"/>
    <w:rsid w:val="6EF68F68"/>
    <w:rsid w:val="7136D5A6"/>
    <w:rsid w:val="74FDAC56"/>
    <w:rsid w:val="785F649B"/>
    <w:rsid w:val="788C7E83"/>
    <w:rsid w:val="79B9F192"/>
    <w:rsid w:val="7A3E6DDB"/>
    <w:rsid w:val="7AD57296"/>
    <w:rsid w:val="7B047E79"/>
    <w:rsid w:val="7C957492"/>
    <w:rsid w:val="7D7EC534"/>
    <w:rsid w:val="7DF4D751"/>
    <w:rsid w:val="7E0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34BA901"/>
  <w15:chartTrackingRefBased/>
  <w15:docId w15:val="{8F27AD52-0092-4C8A-8208-93BC109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5C7BA8"/>
  </w:style>
  <w:style w:type="character" w:customStyle="1" w:styleId="eop">
    <w:name w:val="eop"/>
    <w:basedOn w:val="DefaultParagraphFont"/>
    <w:rsid w:val="005C7BA8"/>
  </w:style>
  <w:style w:type="character" w:styleId="Hyperlink">
    <w:name w:val="Hyperlink"/>
    <w:basedOn w:val="DefaultParagraphFont"/>
    <w:uiPriority w:val="99"/>
    <w:unhideWhenUsed/>
    <w:rsid w:val="00C138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7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63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31EFF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32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4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cation.ecu.edu/cce/" TargetMode="External"/><Relationship Id="rId18" Type="http://schemas.openxmlformats.org/officeDocument/2006/relationships/image" Target="media/image6.svg"/><Relationship Id="rId26" Type="http://schemas.openxmlformats.org/officeDocument/2006/relationships/hyperlink" Target="https://canvas.ecu.edu/instructors/instructor-guides-overview-videos/" TargetMode="External"/><Relationship Id="rId39" Type="http://schemas.openxmlformats.org/officeDocument/2006/relationships/hyperlink" Target="https://canvas.ecu.edu/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ofe.ecu.edu/udlmodules/multiple-means-of-engagement/" TargetMode="External"/><Relationship Id="rId42" Type="http://schemas.openxmlformats.org/officeDocument/2006/relationships/hyperlink" Target="https://canvas.ecu.edu/instructors/instructor-guides-overview-videos/" TargetMode="External"/><Relationship Id="rId47" Type="http://schemas.openxmlformats.org/officeDocument/2006/relationships/hyperlink" Target="https://ofe.ecu.edu/udlmodules/multiple-means-of-engagement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hyperlink" Target="https://canvas.ecu.edu/instructors/training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medicine.ecu.edu/medicaleducation/vidanova/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communication.ecu.edu/cce/" TargetMode="External"/><Relationship Id="rId40" Type="http://schemas.openxmlformats.org/officeDocument/2006/relationships/hyperlink" Target="https://medicine.ecu.edu/medicaleducation/vidanova/" TargetMode="External"/><Relationship Id="rId45" Type="http://schemas.openxmlformats.org/officeDocument/2006/relationships/hyperlink" Target="https://canvas.ecu.edu/instructors/training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ecu.az1.qualtrics.com/jfe/form/SV_3eNyR7LDfnGZRiK" TargetMode="External"/><Relationship Id="rId31" Type="http://schemas.openxmlformats.org/officeDocument/2006/relationships/hyperlink" Target="https://info.ecu.edu/sports/" TargetMode="External"/><Relationship Id="rId44" Type="http://schemas.openxmlformats.org/officeDocument/2006/relationships/hyperlink" Target="https://www.linkedin.com/learning/learning-canvas-2019/connect-your-digital-teaching-tools-in-one-place?u=76264346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embed/cKO5vSNSxto?feature=oembed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ecu.instructure.com/courses/44416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youtube.com/embed/YBbq3lv7CXY?feature=oembed" TargetMode="External"/><Relationship Id="rId43" Type="http://schemas.openxmlformats.org/officeDocument/2006/relationships/hyperlink" Target="https://ecu.instructure.com/courses/44416" TargetMode="External"/><Relationship Id="rId48" Type="http://schemas.openxmlformats.org/officeDocument/2006/relationships/hyperlink" Target="https://newfaculty.ecu.edu/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hyperlink" Target="https://canvas.ecu.edu/wp-content/pv-uploads/sites/80/2019/04/ECU-Canvas-Semester-Essentials.pdf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s://ecu.az1.qualtrics.com/jfe/form/SV_3eNyR7LDfnGZRiK" TargetMode="External"/><Relationship Id="rId46" Type="http://schemas.openxmlformats.org/officeDocument/2006/relationships/hyperlink" Target="https://info.ecu.edu/sports/" TargetMode="External"/><Relationship Id="rId20" Type="http://schemas.openxmlformats.org/officeDocument/2006/relationships/hyperlink" Target="https://canvas.ecu.edu/" TargetMode="External"/><Relationship Id="rId41" Type="http://schemas.openxmlformats.org/officeDocument/2006/relationships/hyperlink" Target="https://canvas.ecu.edu/wp-content/pv-uploads/sites/80/2019/04/ECU-Canvas-Semester-Essential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hyperlink" Target="https://canvas.ecu.edu/" TargetMode="External"/><Relationship Id="rId28" Type="http://schemas.openxmlformats.org/officeDocument/2006/relationships/hyperlink" Target="https://www.linkedin.com/learning/learning-canvas-2019/connect-your-digital-teaching-tools-in-one-place?u=76264346" TargetMode="External"/><Relationship Id="rId36" Type="http://schemas.openxmlformats.org/officeDocument/2006/relationships/image" Target="media/image12.jpg"/><Relationship Id="rId49" Type="http://schemas.openxmlformats.org/officeDocument/2006/relationships/hyperlink" Target="mailto:ofe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f9b70-9911-42f0-a161-181b17d019c8">
      <Terms xmlns="http://schemas.microsoft.com/office/infopath/2007/PartnerControls"/>
    </lcf76f155ced4ddcb4097134ff3c332f>
    <TaxCatchAll xmlns="eea02c98-04da-47a4-afff-f5d723081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E4137FE3A2F498C953907E6B7B641" ma:contentTypeVersion="12" ma:contentTypeDescription="Create a new document." ma:contentTypeScope="" ma:versionID="ce896ce7973a26c27bb16ba90350bd38">
  <xsd:schema xmlns:xsd="http://www.w3.org/2001/XMLSchema" xmlns:xs="http://www.w3.org/2001/XMLSchema" xmlns:p="http://schemas.microsoft.com/office/2006/metadata/properties" xmlns:ns2="e51f9b70-9911-42f0-a161-181b17d019c8" xmlns:ns3="eea02c98-04da-47a4-afff-f5d723081b51" targetNamespace="http://schemas.microsoft.com/office/2006/metadata/properties" ma:root="true" ma:fieldsID="7716d3116bb19d54fc7687bfdf177d6f" ns2:_="" ns3:_="">
    <xsd:import namespace="e51f9b70-9911-42f0-a161-181b17d019c8"/>
    <xsd:import namespace="eea02c98-04da-47a4-afff-f5d72308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f9b70-9911-42f0-a161-181b17d01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0cd38b-47d1-479b-a863-216ca283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2c98-04da-47a4-afff-f5d723081b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8304b-ed2c-4988-a909-8c6f068adf9d}" ma:internalName="TaxCatchAll" ma:showField="CatchAllData" ma:web="eea02c98-04da-47a4-afff-f5d72308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96545-1249-4BE0-95B8-743B043A5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20768-1C64-42CC-B936-82E3AB8DD32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ea02c98-04da-47a4-afff-f5d723081b51"/>
    <ds:schemaRef ds:uri="http://purl.org/dc/dcmitype/"/>
    <ds:schemaRef ds:uri="e51f9b70-9911-42f0-a161-181b17d019c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A4ADC4-F4B9-4D8B-9B31-97EC80E34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f9b70-9911-42f0-a161-181b17d019c8"/>
    <ds:schemaRef ds:uri="eea02c98-04da-47a4-afff-f5d72308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ACAD9-8CDB-4B5B-ACC3-937D69556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906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Sara</dc:creator>
  <cp:keywords/>
  <dc:description/>
  <cp:lastModifiedBy>Gohn, Cara</cp:lastModifiedBy>
  <cp:revision>8</cp:revision>
  <cp:lastPrinted>2024-06-06T15:40:00Z</cp:lastPrinted>
  <dcterms:created xsi:type="dcterms:W3CDTF">2025-06-24T15:15:00Z</dcterms:created>
  <dcterms:modified xsi:type="dcterms:W3CDTF">2025-06-25T16:51:00Z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0x01010031AE4137FE3A2F498C953907E6B7B641</vt:lpwstr>
  </property>
  <property fmtid="{D5CDD505-2E9C-101B-9397-08002B2CF9AE}" pid="3" name="MediaServiceImageTags">
    <vt:lpwstr/>
  </property>
  <property fmtid="{D5CDD505-2E9C-101B-9397-08002B2CF9AE}" pid="4" name="Order">
    <vt:r8>93800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3e4f29b3-95b5-450c-b30e-e6838afc60f6</vt:lpwstr>
  </property>
</Properties>
</file>